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D00F" w14:textId="77777777" w:rsidR="00FB58F5" w:rsidRDefault="00FB58F5" w:rsidP="00C32BBE">
      <w:pPr>
        <w:spacing w:after="0"/>
        <w:jc w:val="center"/>
        <w:rPr>
          <w:b/>
          <w:szCs w:val="24"/>
          <w:lang w:val="uk-UA"/>
        </w:rPr>
      </w:pPr>
      <w:r w:rsidRPr="00312C33">
        <w:rPr>
          <w:b/>
          <w:szCs w:val="24"/>
          <w:lang w:val="uk-UA"/>
        </w:rPr>
        <w:t xml:space="preserve">Лабораторна робота </w:t>
      </w:r>
      <w:r w:rsidR="00817DAE">
        <w:rPr>
          <w:b/>
          <w:szCs w:val="24"/>
          <w:lang w:val="uk-UA"/>
        </w:rPr>
        <w:t>3</w:t>
      </w:r>
      <w:r w:rsidR="00312C33" w:rsidRPr="00312C33">
        <w:rPr>
          <w:b/>
          <w:szCs w:val="24"/>
          <w:lang w:val="uk-UA"/>
        </w:rPr>
        <w:t>.</w:t>
      </w:r>
    </w:p>
    <w:p w14:paraId="7EF3C9CE" w14:textId="77777777" w:rsidR="00A67D87" w:rsidRDefault="00817DAE" w:rsidP="00C32BBE">
      <w:pPr>
        <w:spacing w:after="0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МКФ. </w:t>
      </w:r>
      <w:r w:rsidRPr="00817DAE">
        <w:rPr>
          <w:b/>
          <w:szCs w:val="24"/>
          <w:lang w:val="uk-UA"/>
        </w:rPr>
        <w:t>SMART-цілі в фізичній терапії</w:t>
      </w:r>
      <w:r>
        <w:rPr>
          <w:b/>
          <w:szCs w:val="24"/>
          <w:lang w:val="uk-UA"/>
        </w:rPr>
        <w:t>.</w:t>
      </w:r>
    </w:p>
    <w:p w14:paraId="6991D580" w14:textId="77777777" w:rsidR="00817DAE" w:rsidRDefault="00817DAE" w:rsidP="00817DAE">
      <w:pPr>
        <w:spacing w:after="0"/>
        <w:jc w:val="center"/>
        <w:rPr>
          <w:b/>
          <w:szCs w:val="24"/>
          <w:lang w:val="uk-UA"/>
        </w:rPr>
      </w:pPr>
    </w:p>
    <w:p w14:paraId="1AB87E79" w14:textId="77777777" w:rsidR="00B31FDD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Міжнародна класифікація функціонування, обмежень ж</w:t>
      </w:r>
      <w:r>
        <w:rPr>
          <w:szCs w:val="24"/>
          <w:lang w:val="uk-UA"/>
        </w:rPr>
        <w:t>иттєдіяльності та здоров’я (МКФ</w:t>
      </w:r>
      <w:r w:rsidRPr="00817DAE">
        <w:rPr>
          <w:szCs w:val="24"/>
          <w:lang w:val="uk-UA"/>
        </w:rPr>
        <w:t xml:space="preserve">) – це класифікація Всесвітньої організації охорони здоров’я, що охоплює сфери здоров’я та пов’язані з ним. </w:t>
      </w:r>
      <w:r>
        <w:rPr>
          <w:szCs w:val="24"/>
          <w:lang w:val="uk-UA"/>
        </w:rPr>
        <w:t>МКФ</w:t>
      </w:r>
      <w:r w:rsidRPr="00817DAE">
        <w:rPr>
          <w:szCs w:val="24"/>
          <w:lang w:val="uk-UA"/>
        </w:rPr>
        <w:t xml:space="preserve"> робить акцент на функції, впливі та здоров’ї, а не на обмеженні жит</w:t>
      </w:r>
      <w:r>
        <w:rPr>
          <w:szCs w:val="24"/>
          <w:lang w:val="uk-UA"/>
        </w:rPr>
        <w:t xml:space="preserve">тєдіяльності та його причинах. </w:t>
      </w:r>
      <w:r w:rsidRPr="00817DAE">
        <w:rPr>
          <w:szCs w:val="24"/>
          <w:lang w:val="uk-UA"/>
        </w:rPr>
        <w:t xml:space="preserve">Розуміння функціонального дефіциту, пов’язаного зі станом здоров’я, сприяє кращому веденню пацієнта. </w:t>
      </w:r>
      <w:r w:rsidR="00B31FDD" w:rsidRPr="00B31FDD">
        <w:rPr>
          <w:szCs w:val="24"/>
          <w:lang w:val="uk-UA"/>
        </w:rPr>
        <w:t xml:space="preserve">Як фізичному терапевту, МКФ дає вам мову, щоб описати не діагноз, а те, як цей діагноз впливає на життя конкретної людини. Ваше завдання </w:t>
      </w:r>
      <w:r w:rsidR="00B31FDD">
        <w:rPr>
          <w:szCs w:val="24"/>
          <w:lang w:val="uk-UA"/>
        </w:rPr>
        <w:t>–</w:t>
      </w:r>
      <w:r w:rsidR="00B31FDD" w:rsidRPr="00B31FDD">
        <w:rPr>
          <w:szCs w:val="24"/>
          <w:lang w:val="uk-UA"/>
        </w:rPr>
        <w:t xml:space="preserve"> перекласти скарги пацієнта на мову МКФ, щоб сформу</w:t>
      </w:r>
      <w:r w:rsidR="00B31FDD">
        <w:rPr>
          <w:szCs w:val="24"/>
          <w:lang w:val="uk-UA"/>
        </w:rPr>
        <w:t>лювати зрозумілі для нього цілі</w:t>
      </w:r>
      <w:r w:rsidR="00B31FDD" w:rsidRPr="00B31FDD">
        <w:rPr>
          <w:szCs w:val="24"/>
          <w:lang w:val="uk-UA"/>
        </w:rPr>
        <w:t>.</w:t>
      </w:r>
    </w:p>
    <w:p w14:paraId="32D89BCF" w14:textId="77777777" w:rsidR="00B31FDD" w:rsidRDefault="00B31FDD" w:rsidP="00817DAE">
      <w:pPr>
        <w:spacing w:after="0"/>
        <w:ind w:firstLine="708"/>
        <w:jc w:val="both"/>
        <w:rPr>
          <w:szCs w:val="24"/>
          <w:lang w:val="uk-UA"/>
        </w:rPr>
      </w:pPr>
    </w:p>
    <w:p w14:paraId="3ADE225A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 xml:space="preserve">Концепція МКФ – це </w:t>
      </w:r>
      <w:proofErr w:type="spellStart"/>
      <w:r w:rsidRPr="00817DAE">
        <w:rPr>
          <w:szCs w:val="24"/>
          <w:lang w:val="uk-UA"/>
        </w:rPr>
        <w:t>біопсихосоціальна</w:t>
      </w:r>
      <w:proofErr w:type="spellEnd"/>
      <w:r w:rsidRPr="00817DAE">
        <w:rPr>
          <w:szCs w:val="24"/>
          <w:lang w:val="uk-UA"/>
        </w:rPr>
        <w:t xml:space="preserve"> модель, в якій переплітаються медична та соціальна моделі обмежень життєдіяльності. Концепція МКФ визнає, що здоров’я людини формується під впливом середовища та особистих факторів. МКФ </w:t>
      </w:r>
      <w:r>
        <w:rPr>
          <w:szCs w:val="24"/>
          <w:lang w:val="uk-UA"/>
        </w:rPr>
        <w:t xml:space="preserve">включає такі компоненти </w:t>
      </w:r>
      <w:r w:rsidRPr="00817DAE">
        <w:rPr>
          <w:szCs w:val="24"/>
          <w:lang w:val="uk-UA"/>
        </w:rPr>
        <w:t>здоров’я:</w:t>
      </w:r>
    </w:p>
    <w:p w14:paraId="76D89B7A" w14:textId="77777777" w:rsidR="00B31FDD" w:rsidRDefault="00B31FDD" w:rsidP="00817DAE">
      <w:pPr>
        <w:spacing w:after="0"/>
        <w:ind w:firstLine="708"/>
        <w:jc w:val="both"/>
        <w:rPr>
          <w:szCs w:val="24"/>
          <w:lang w:val="uk-UA"/>
        </w:rPr>
      </w:pPr>
    </w:p>
    <w:p w14:paraId="6ED18DC8" w14:textId="77777777" w:rsidR="00B31FDD" w:rsidRDefault="00B31FDD" w:rsidP="00B31FDD">
      <w:pPr>
        <w:spacing w:after="0"/>
        <w:jc w:val="center"/>
        <w:rPr>
          <w:szCs w:val="24"/>
          <w:lang w:val="uk-UA"/>
        </w:rPr>
      </w:pPr>
      <w:r>
        <w:rPr>
          <w:noProof/>
          <w:szCs w:val="24"/>
          <w:lang w:eastAsia="ru-RU"/>
        </w:rPr>
        <w:drawing>
          <wp:inline distT="0" distB="0" distL="0" distR="0" wp14:anchorId="689100E0" wp14:editId="1DDB8478">
            <wp:extent cx="4240946" cy="2929897"/>
            <wp:effectExtent l="19050" t="0" r="720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868" cy="29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9123C" w14:textId="77777777" w:rsidR="00B31FDD" w:rsidRDefault="00B31FDD" w:rsidP="00817DAE">
      <w:pPr>
        <w:spacing w:after="0"/>
        <w:ind w:firstLine="708"/>
        <w:jc w:val="both"/>
        <w:rPr>
          <w:szCs w:val="24"/>
          <w:lang w:val="uk-UA"/>
        </w:rPr>
      </w:pPr>
    </w:p>
    <w:p w14:paraId="407D8D3F" w14:textId="77777777" w:rsidR="00B31FDD" w:rsidRDefault="00B31FDD" w:rsidP="00817DAE">
      <w:pPr>
        <w:spacing w:after="0"/>
        <w:ind w:firstLine="708"/>
        <w:jc w:val="both"/>
        <w:rPr>
          <w:szCs w:val="24"/>
          <w:lang w:val="uk-UA"/>
        </w:rPr>
      </w:pPr>
    </w:p>
    <w:p w14:paraId="2BA070B2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Структура МКФ може бути</w:t>
      </w:r>
      <w:r>
        <w:rPr>
          <w:szCs w:val="24"/>
          <w:lang w:val="uk-UA"/>
        </w:rPr>
        <w:t xml:space="preserve"> корисною для постановки цілей. </w:t>
      </w:r>
      <w:r w:rsidRPr="00817DAE">
        <w:rPr>
          <w:szCs w:val="24"/>
          <w:lang w:val="uk-UA"/>
        </w:rPr>
        <w:t xml:space="preserve">У фізичній </w:t>
      </w:r>
      <w:r>
        <w:rPr>
          <w:szCs w:val="24"/>
          <w:lang w:val="uk-UA"/>
        </w:rPr>
        <w:t>терап</w:t>
      </w:r>
      <w:r w:rsidRPr="00817DAE">
        <w:rPr>
          <w:szCs w:val="24"/>
          <w:lang w:val="uk-UA"/>
        </w:rPr>
        <w:t>ії цілі втручання поділяють на коротко- та довготермінові. Короткотермінові цілі є етапами в досягненні довготермінових і визначають можливість їх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досягнення. Їх виконання або невиконання у встановлені терміни вносить корекцію в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постановку довготермінових.</w:t>
      </w:r>
    </w:p>
    <w:p w14:paraId="45102917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Досягнення цілей може відбуватися послідовно, коли досягнення однієї цілі стає ключем до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іншої. Наприклад, без здатності протягом визначеного часу утримувати уражену нижню кінцівку над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поверхнею підлоги пацієнт вимушено опиратиметься на уражену ногу. Якщо таке навантаження є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протипоказаним, то навчання ходи й сама хода з милицями з перенесенням ваги лише через інтактну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нижню кінцівку стануть неможливі.</w:t>
      </w:r>
    </w:p>
    <w:p w14:paraId="18053BB0" w14:textId="77777777" w:rsid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Короткотермінові цілі також можуть досягатися паралельно. Їх одночасне успішне досягнення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 xml:space="preserve">відкриває шлях для реалізації більшої довгострокової цілі, яка відіграє об’єднувальну роль. Прикладом слугує одночасна підготовка верхніх та інтактної нижньої </w:t>
      </w:r>
      <w:r w:rsidRPr="00817DAE">
        <w:rPr>
          <w:szCs w:val="24"/>
          <w:lang w:val="uk-UA"/>
        </w:rPr>
        <w:lastRenderedPageBreak/>
        <w:t>кінцівок, а також систем енергозабезпечення пацієнта для навчання ходи на милицях. Якщо таку роботу розпочати заздалегідь, то терміни реабілітації значно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>скоротяться.</w:t>
      </w:r>
    </w:p>
    <w:p w14:paraId="1BCF8ABC" w14:textId="77777777" w:rsidR="00B31FDD" w:rsidRPr="00817DAE" w:rsidRDefault="00817DAE" w:rsidP="00B31FDD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Ґрунтуючись на М</w:t>
      </w:r>
      <w:r>
        <w:rPr>
          <w:szCs w:val="24"/>
          <w:lang w:val="uk-UA"/>
        </w:rPr>
        <w:t xml:space="preserve">КФ, </w:t>
      </w:r>
      <w:r w:rsidRPr="00817DAE">
        <w:rPr>
          <w:szCs w:val="24"/>
          <w:lang w:val="uk-UA"/>
        </w:rPr>
        <w:t>можна встановлювати цілі на рівні структур і функцій, а також на рівнях активності та участі.</w:t>
      </w:r>
      <w:r>
        <w:rPr>
          <w:szCs w:val="24"/>
          <w:lang w:val="uk-UA"/>
        </w:rPr>
        <w:t xml:space="preserve"> </w:t>
      </w:r>
      <w:r w:rsidRPr="00817DAE">
        <w:rPr>
          <w:szCs w:val="24"/>
          <w:lang w:val="uk-UA"/>
        </w:rPr>
        <w:t xml:space="preserve">Фізичні </w:t>
      </w:r>
      <w:r>
        <w:rPr>
          <w:szCs w:val="24"/>
          <w:lang w:val="uk-UA"/>
        </w:rPr>
        <w:t>терапевти</w:t>
      </w:r>
      <w:r w:rsidRPr="00817DAE">
        <w:rPr>
          <w:szCs w:val="24"/>
          <w:lang w:val="uk-UA"/>
        </w:rPr>
        <w:t xml:space="preserve"> здебільшого встановлюють і досяг</w:t>
      </w:r>
      <w:r>
        <w:rPr>
          <w:szCs w:val="24"/>
          <w:lang w:val="uk-UA"/>
        </w:rPr>
        <w:t xml:space="preserve">ають цілі реабілітації на рівні </w:t>
      </w:r>
      <w:r w:rsidRPr="00817DAE">
        <w:rPr>
          <w:szCs w:val="24"/>
          <w:lang w:val="uk-UA"/>
        </w:rPr>
        <w:t>активн</w:t>
      </w:r>
      <w:r>
        <w:rPr>
          <w:szCs w:val="24"/>
          <w:lang w:val="uk-UA"/>
        </w:rPr>
        <w:t>о</w:t>
      </w:r>
      <w:r w:rsidRPr="00817DAE">
        <w:rPr>
          <w:szCs w:val="24"/>
          <w:lang w:val="uk-UA"/>
        </w:rPr>
        <w:t>ст</w:t>
      </w:r>
      <w:r>
        <w:rPr>
          <w:szCs w:val="24"/>
          <w:lang w:val="uk-UA"/>
        </w:rPr>
        <w:t>і</w:t>
      </w:r>
      <w:r w:rsidR="00B31FDD" w:rsidRPr="00B31FDD">
        <w:rPr>
          <w:szCs w:val="24"/>
          <w:lang w:val="uk-UA"/>
        </w:rPr>
        <w:t xml:space="preserve"> та участі.</w:t>
      </w:r>
      <w:r w:rsidR="00B31FDD">
        <w:rPr>
          <w:szCs w:val="24"/>
          <w:lang w:val="uk-UA"/>
        </w:rPr>
        <w:t xml:space="preserve"> </w:t>
      </w:r>
      <w:r w:rsidR="00B31FDD" w:rsidRPr="00B31FDD">
        <w:rPr>
          <w:szCs w:val="24"/>
          <w:lang w:val="uk-UA"/>
        </w:rPr>
        <w:t>Це ті самі конкретні справи, які пацієнт хоче знову робити. Ціл</w:t>
      </w:r>
      <w:r w:rsidR="00B31FDD">
        <w:rPr>
          <w:szCs w:val="24"/>
          <w:lang w:val="uk-UA"/>
        </w:rPr>
        <w:t>і на рівні функції (зменшити біль</w:t>
      </w:r>
      <w:r w:rsidR="00B31FDD" w:rsidRPr="00B31FDD">
        <w:rPr>
          <w:szCs w:val="24"/>
          <w:lang w:val="uk-UA"/>
        </w:rPr>
        <w:t xml:space="preserve">) </w:t>
      </w:r>
      <w:r w:rsidR="00B31FDD">
        <w:rPr>
          <w:szCs w:val="24"/>
          <w:lang w:val="uk-UA"/>
        </w:rPr>
        <w:t>–</w:t>
      </w:r>
      <w:r w:rsidR="00B31FDD" w:rsidRPr="00B31FDD">
        <w:rPr>
          <w:szCs w:val="24"/>
          <w:lang w:val="uk-UA"/>
        </w:rPr>
        <w:t xml:space="preserve"> це лише проміжний крок для досягнення </w:t>
      </w:r>
      <w:r w:rsidR="00B31FDD">
        <w:rPr>
          <w:szCs w:val="24"/>
          <w:lang w:val="uk-UA"/>
        </w:rPr>
        <w:t>справжньої, життєвої мети</w:t>
      </w:r>
      <w:r w:rsidR="00B31FDD" w:rsidRPr="00B31FDD">
        <w:rPr>
          <w:szCs w:val="24"/>
          <w:lang w:val="uk-UA"/>
        </w:rPr>
        <w:t>.</w:t>
      </w:r>
    </w:p>
    <w:p w14:paraId="0409FFD4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r w:rsidRPr="00817DAE">
        <w:rPr>
          <w:szCs w:val="24"/>
          <w:lang w:val="uk-UA"/>
        </w:rPr>
        <w:t>При створенні значущих функціональних цілей рекомендується використовувати метод SMART. Абревіатура SMART розшифровується як:</w:t>
      </w:r>
    </w:p>
    <w:p w14:paraId="0EA81DF8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proofErr w:type="spellStart"/>
      <w:r w:rsidRPr="00817DAE">
        <w:rPr>
          <w:szCs w:val="24"/>
          <w:lang w:val="uk-UA"/>
        </w:rPr>
        <w:t>Specific</w:t>
      </w:r>
      <w:proofErr w:type="spellEnd"/>
      <w:r w:rsidRPr="00817DAE">
        <w:rPr>
          <w:szCs w:val="24"/>
          <w:lang w:val="uk-UA"/>
        </w:rPr>
        <w:t xml:space="preserve"> (Конкретна): "Ходити без палиці", а не "покращити ходьбу".</w:t>
      </w:r>
    </w:p>
    <w:p w14:paraId="62925E2D" w14:textId="7777777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proofErr w:type="spellStart"/>
      <w:r w:rsidRPr="00817DAE">
        <w:rPr>
          <w:szCs w:val="24"/>
          <w:lang w:val="uk-UA"/>
        </w:rPr>
        <w:t>Measurable</w:t>
      </w:r>
      <w:proofErr w:type="spellEnd"/>
      <w:r w:rsidRPr="00817DAE">
        <w:rPr>
          <w:szCs w:val="24"/>
          <w:lang w:val="uk-UA"/>
        </w:rPr>
        <w:t xml:space="preserve"> (Вимірювана): "Пройти 500м", "піднятися на 2 поверхи".</w:t>
      </w:r>
    </w:p>
    <w:p w14:paraId="2433CF33" w14:textId="6951D555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proofErr w:type="spellStart"/>
      <w:r w:rsidRPr="00817DAE">
        <w:rPr>
          <w:szCs w:val="24"/>
          <w:lang w:val="uk-UA"/>
        </w:rPr>
        <w:t>Achievable</w:t>
      </w:r>
      <w:proofErr w:type="spellEnd"/>
      <w:r w:rsidRPr="00817DAE">
        <w:rPr>
          <w:szCs w:val="24"/>
          <w:lang w:val="uk-UA"/>
        </w:rPr>
        <w:t xml:space="preserve"> (Досяжна): Враховує поточний стан </w:t>
      </w:r>
      <w:r w:rsidR="006E61EE">
        <w:rPr>
          <w:szCs w:val="24"/>
          <w:lang w:val="uk-UA"/>
        </w:rPr>
        <w:t xml:space="preserve">пацієнта </w:t>
      </w:r>
      <w:r w:rsidRPr="00817DAE">
        <w:rPr>
          <w:szCs w:val="24"/>
          <w:lang w:val="uk-UA"/>
        </w:rPr>
        <w:t>та</w:t>
      </w:r>
      <w:r w:rsidR="006E61EE">
        <w:rPr>
          <w:szCs w:val="24"/>
          <w:lang w:val="uk-UA"/>
        </w:rPr>
        <w:t xml:space="preserve"> наявні</w:t>
      </w:r>
      <w:r w:rsidRPr="00817DAE">
        <w:rPr>
          <w:szCs w:val="24"/>
          <w:lang w:val="uk-UA"/>
        </w:rPr>
        <w:t xml:space="preserve"> ресурси.</w:t>
      </w:r>
    </w:p>
    <w:p w14:paraId="72A08BC0" w14:textId="70226997" w:rsidR="00817DAE" w:rsidRP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proofErr w:type="spellStart"/>
      <w:r w:rsidRPr="00817DAE">
        <w:rPr>
          <w:szCs w:val="24"/>
          <w:lang w:val="uk-UA"/>
        </w:rPr>
        <w:t>Relevant</w:t>
      </w:r>
      <w:proofErr w:type="spellEnd"/>
      <w:r w:rsidRPr="00817DAE">
        <w:rPr>
          <w:szCs w:val="24"/>
          <w:lang w:val="uk-UA"/>
        </w:rPr>
        <w:t xml:space="preserve"> (Актуальна): Це </w:t>
      </w:r>
      <w:r w:rsidR="006E61EE">
        <w:rPr>
          <w:szCs w:val="24"/>
          <w:lang w:val="uk-UA"/>
        </w:rPr>
        <w:t>потреба</w:t>
      </w:r>
      <w:r w:rsidRPr="00817DAE">
        <w:rPr>
          <w:szCs w:val="24"/>
          <w:lang w:val="uk-UA"/>
        </w:rPr>
        <w:t xml:space="preserve"> пацієнта, що покращить якість </w:t>
      </w:r>
      <w:r w:rsidR="006E61EE" w:rsidRPr="00817DAE">
        <w:rPr>
          <w:szCs w:val="24"/>
          <w:lang w:val="uk-UA"/>
        </w:rPr>
        <w:t xml:space="preserve">його </w:t>
      </w:r>
      <w:r w:rsidRPr="00817DAE">
        <w:rPr>
          <w:szCs w:val="24"/>
          <w:lang w:val="uk-UA"/>
        </w:rPr>
        <w:t>життя.</w:t>
      </w:r>
    </w:p>
    <w:p w14:paraId="141E35BF" w14:textId="6A9E250B" w:rsidR="00817DAE" w:rsidRDefault="00817DAE" w:rsidP="00817DAE">
      <w:pPr>
        <w:spacing w:after="0"/>
        <w:ind w:firstLine="708"/>
        <w:jc w:val="both"/>
        <w:rPr>
          <w:szCs w:val="24"/>
          <w:lang w:val="uk-UA"/>
        </w:rPr>
      </w:pPr>
      <w:proofErr w:type="spellStart"/>
      <w:r w:rsidRPr="00817DAE">
        <w:rPr>
          <w:szCs w:val="24"/>
          <w:lang w:val="uk-UA"/>
        </w:rPr>
        <w:t>Time-bound</w:t>
      </w:r>
      <w:proofErr w:type="spellEnd"/>
      <w:r w:rsidRPr="00817DAE">
        <w:rPr>
          <w:szCs w:val="24"/>
          <w:lang w:val="uk-UA"/>
        </w:rPr>
        <w:t xml:space="preserve"> (Обмежена в часі): "Через 4 тижні"</w:t>
      </w:r>
      <w:r w:rsidR="006E61EE">
        <w:rPr>
          <w:szCs w:val="24"/>
          <w:lang w:val="uk-UA"/>
        </w:rPr>
        <w:t>.</w:t>
      </w:r>
    </w:p>
    <w:p w14:paraId="66009090" w14:textId="77777777" w:rsidR="00817DAE" w:rsidRPr="00312C33" w:rsidRDefault="00817DAE" w:rsidP="00610086">
      <w:pPr>
        <w:spacing w:after="0"/>
        <w:rPr>
          <w:szCs w:val="24"/>
          <w:lang w:val="uk-UA"/>
        </w:rPr>
      </w:pPr>
    </w:p>
    <w:p w14:paraId="3EB6DCA6" w14:textId="77777777" w:rsidR="00610086" w:rsidRDefault="00A67D87" w:rsidP="00B86914">
      <w:pPr>
        <w:spacing w:after="0"/>
        <w:ind w:firstLine="709"/>
        <w:jc w:val="both"/>
        <w:rPr>
          <w:b/>
          <w:szCs w:val="24"/>
          <w:lang w:val="uk-UA"/>
        </w:rPr>
      </w:pPr>
      <w:r w:rsidRPr="00312C33">
        <w:rPr>
          <w:b/>
          <w:szCs w:val="24"/>
          <w:lang w:val="uk-UA"/>
        </w:rPr>
        <w:t>Завдання</w:t>
      </w:r>
      <w:r w:rsidR="00725D1B">
        <w:rPr>
          <w:b/>
          <w:szCs w:val="24"/>
          <w:lang w:val="uk-UA"/>
        </w:rPr>
        <w:t xml:space="preserve"> 1</w:t>
      </w:r>
      <w:r w:rsidR="00641267">
        <w:rPr>
          <w:b/>
          <w:szCs w:val="24"/>
          <w:lang w:val="uk-UA"/>
        </w:rPr>
        <w:t>.</w:t>
      </w:r>
      <w:r w:rsidR="00B86914" w:rsidRPr="006E61EE">
        <w:rPr>
          <w:b/>
          <w:szCs w:val="24"/>
        </w:rPr>
        <w:t xml:space="preserve"> </w:t>
      </w:r>
    </w:p>
    <w:p w14:paraId="083B9B35" w14:textId="6B730C95" w:rsidR="00610086" w:rsidRDefault="00610086" w:rsidP="00B86914">
      <w:pPr>
        <w:spacing w:after="0"/>
        <w:ind w:firstLine="709"/>
        <w:jc w:val="both"/>
        <w:rPr>
          <w:szCs w:val="24"/>
          <w:lang w:val="uk-UA"/>
        </w:rPr>
      </w:pPr>
      <w:r w:rsidRPr="00610086">
        <w:rPr>
          <w:szCs w:val="24"/>
          <w:lang w:val="uk-UA"/>
        </w:rPr>
        <w:t xml:space="preserve">1. </w:t>
      </w:r>
      <w:r w:rsidR="006E61EE">
        <w:rPr>
          <w:szCs w:val="24"/>
          <w:lang w:val="uk-UA"/>
        </w:rPr>
        <w:t>Використовуйте</w:t>
      </w:r>
      <w:r w:rsidR="00B86914" w:rsidRPr="00B86914">
        <w:rPr>
          <w:szCs w:val="24"/>
          <w:lang w:val="uk-UA"/>
        </w:rPr>
        <w:t xml:space="preserve"> клінічний кейс</w:t>
      </w:r>
      <w:r>
        <w:rPr>
          <w:szCs w:val="24"/>
          <w:lang w:val="uk-UA"/>
        </w:rPr>
        <w:t xml:space="preserve"> з лабораторної роботи 2</w:t>
      </w:r>
      <w:r w:rsidR="00B86914" w:rsidRPr="00B86914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</w:p>
    <w:p w14:paraId="71BDFDFE" w14:textId="77777777" w:rsidR="00610086" w:rsidRDefault="00610086" w:rsidP="00B86914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2. За результатами опитування скомпонуйте обмеження пацієнта в компонентах МКФ, визначте позитивні та негативні фактори контексту.</w:t>
      </w:r>
    </w:p>
    <w:p w14:paraId="20C5ECE4" w14:textId="77777777" w:rsidR="00610086" w:rsidRPr="00610086" w:rsidRDefault="00610086" w:rsidP="00610086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610086">
        <w:rPr>
          <w:szCs w:val="24"/>
          <w:lang w:val="uk-UA"/>
        </w:rPr>
        <w:t>Оберіть одне обмеження активності або участі з таблиці як пріоритет для терапії.</w:t>
      </w:r>
      <w:r>
        <w:rPr>
          <w:szCs w:val="24"/>
          <w:lang w:val="uk-UA"/>
        </w:rPr>
        <w:t xml:space="preserve"> </w:t>
      </w:r>
      <w:r w:rsidRPr="00610086">
        <w:rPr>
          <w:szCs w:val="24"/>
          <w:lang w:val="uk-UA"/>
        </w:rPr>
        <w:t>Сформулюйте для нього SMART-ціль. Використовуйте шаблон:</w:t>
      </w:r>
    </w:p>
    <w:p w14:paraId="641DA4CB" w14:textId="77777777" w:rsidR="00B31E77" w:rsidRPr="00610086" w:rsidRDefault="00610086" w:rsidP="00610086">
      <w:pPr>
        <w:spacing w:after="0"/>
        <w:ind w:firstLine="709"/>
        <w:jc w:val="both"/>
        <w:rPr>
          <w:szCs w:val="24"/>
          <w:lang w:val="uk-UA"/>
        </w:rPr>
      </w:pPr>
      <w:r w:rsidRPr="00610086">
        <w:rPr>
          <w:szCs w:val="24"/>
          <w:lang w:val="uk-UA"/>
        </w:rPr>
        <w:t xml:space="preserve">«Через </w:t>
      </w:r>
      <w:r w:rsidR="00B31E77">
        <w:rPr>
          <w:szCs w:val="24"/>
          <w:lang w:val="uk-UA"/>
        </w:rPr>
        <w:t>(</w:t>
      </w:r>
      <w:r w:rsidRPr="00610086">
        <w:rPr>
          <w:szCs w:val="24"/>
          <w:lang w:val="uk-UA"/>
        </w:rPr>
        <w:t>час</w:t>
      </w:r>
      <w:r w:rsidR="00B31E77">
        <w:rPr>
          <w:szCs w:val="24"/>
          <w:lang w:val="uk-UA"/>
        </w:rPr>
        <w:t>)</w:t>
      </w:r>
      <w:r w:rsidRPr="00610086">
        <w:rPr>
          <w:szCs w:val="24"/>
          <w:lang w:val="uk-UA"/>
        </w:rPr>
        <w:t xml:space="preserve"> пацієнт зможе </w:t>
      </w:r>
      <w:r w:rsidR="00B31E77">
        <w:rPr>
          <w:szCs w:val="24"/>
          <w:lang w:val="uk-UA"/>
        </w:rPr>
        <w:t>(</w:t>
      </w:r>
      <w:r w:rsidRPr="00610086">
        <w:rPr>
          <w:szCs w:val="24"/>
          <w:lang w:val="uk-UA"/>
        </w:rPr>
        <w:t>конкретна дія</w:t>
      </w:r>
      <w:r w:rsidR="00B31E77">
        <w:rPr>
          <w:szCs w:val="24"/>
          <w:lang w:val="uk-UA"/>
        </w:rPr>
        <w:t>)</w:t>
      </w:r>
      <w:r w:rsidRPr="00610086">
        <w:rPr>
          <w:szCs w:val="24"/>
          <w:lang w:val="uk-UA"/>
        </w:rPr>
        <w:t xml:space="preserve"> в </w:t>
      </w:r>
      <w:r w:rsidR="00B31E77">
        <w:rPr>
          <w:szCs w:val="24"/>
          <w:lang w:val="uk-UA"/>
        </w:rPr>
        <w:t>(</w:t>
      </w:r>
      <w:r w:rsidRPr="00610086">
        <w:rPr>
          <w:szCs w:val="24"/>
          <w:lang w:val="uk-UA"/>
        </w:rPr>
        <w:t>умовах</w:t>
      </w:r>
      <w:r w:rsidR="00B31E77">
        <w:rPr>
          <w:szCs w:val="24"/>
          <w:lang w:val="uk-UA"/>
        </w:rPr>
        <w:t>)</w:t>
      </w:r>
      <w:r w:rsidRPr="00610086">
        <w:rPr>
          <w:szCs w:val="24"/>
          <w:lang w:val="uk-UA"/>
        </w:rPr>
        <w:t xml:space="preserve">, </w:t>
      </w:r>
      <w:r w:rsidR="00B31E77" w:rsidRPr="00B31E77">
        <w:rPr>
          <w:szCs w:val="24"/>
          <w:lang w:val="uk-UA"/>
        </w:rPr>
        <w:t xml:space="preserve">з </w:t>
      </w:r>
      <w:r w:rsidR="00B31E77">
        <w:rPr>
          <w:szCs w:val="24"/>
          <w:lang w:val="uk-UA"/>
        </w:rPr>
        <w:t>(показник оцінки, показник комфорту, показник успішності)</w:t>
      </w:r>
      <w:r w:rsidR="00B31E77" w:rsidRPr="00B31E77">
        <w:rPr>
          <w:szCs w:val="24"/>
          <w:lang w:val="uk-UA"/>
        </w:rPr>
        <w:t>»</w:t>
      </w:r>
      <w:r w:rsidR="00B31E77">
        <w:rPr>
          <w:szCs w:val="24"/>
          <w:lang w:val="uk-UA"/>
        </w:rPr>
        <w:t>.</w:t>
      </w:r>
    </w:p>
    <w:p w14:paraId="6047E1E7" w14:textId="77777777" w:rsidR="00610086" w:rsidRDefault="00610086" w:rsidP="00610086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610086">
        <w:rPr>
          <w:szCs w:val="24"/>
          <w:lang w:val="uk-UA"/>
        </w:rPr>
        <w:t>Напишіть перше завдання або рекомендацію для цього пацієнта, яке стане першим кроком до досягнення SMART-цілі.</w:t>
      </w:r>
      <w:r>
        <w:rPr>
          <w:szCs w:val="24"/>
          <w:lang w:val="uk-UA"/>
        </w:rPr>
        <w:t xml:space="preserve"> </w:t>
      </w:r>
      <w:r w:rsidRPr="00610086">
        <w:rPr>
          <w:szCs w:val="24"/>
          <w:lang w:val="uk-UA"/>
        </w:rPr>
        <w:t>Поясніть, як це завдання пов'язане з вибраним обмеженням МКФ та ціллю.</w:t>
      </w:r>
      <w:r>
        <w:rPr>
          <w:szCs w:val="24"/>
          <w:lang w:val="uk-UA"/>
        </w:rPr>
        <w:t xml:space="preserve"> </w:t>
      </w:r>
    </w:p>
    <w:p w14:paraId="40B232CF" w14:textId="77777777" w:rsidR="00B86914" w:rsidRDefault="00B86914" w:rsidP="00B86914">
      <w:pPr>
        <w:spacing w:after="0"/>
        <w:ind w:firstLine="709"/>
        <w:jc w:val="both"/>
        <w:rPr>
          <w:szCs w:val="24"/>
          <w:lang w:val="uk-UA"/>
        </w:rPr>
      </w:pPr>
      <w:r w:rsidRPr="00B86914">
        <w:rPr>
          <w:szCs w:val="24"/>
          <w:lang w:val="uk-UA"/>
        </w:rPr>
        <w:t xml:space="preserve"> </w:t>
      </w:r>
      <w:r w:rsidR="00610086">
        <w:rPr>
          <w:szCs w:val="24"/>
          <w:lang w:val="uk-UA"/>
        </w:rPr>
        <w:t xml:space="preserve">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418"/>
        <w:gridCol w:w="4111"/>
        <w:gridCol w:w="2126"/>
      </w:tblGrid>
      <w:tr w:rsidR="00B86914" w:rsidRPr="00B86914" w14:paraId="21F58F7D" w14:textId="77777777" w:rsidTr="00B31E77">
        <w:trPr>
          <w:tblHeader/>
        </w:trPr>
        <w:tc>
          <w:tcPr>
            <w:tcW w:w="3124" w:type="dxa"/>
            <w:gridSpan w:val="2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0F540B84" w14:textId="77777777" w:rsidR="00B86914" w:rsidRPr="00B86914" w:rsidRDefault="00B31FDD" w:rsidP="00B86914">
            <w:pPr>
              <w:spacing w:after="0" w:line="240" w:lineRule="auto"/>
              <w:ind w:left="147"/>
              <w:jc w:val="center"/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  <w:t>Компонент МКФ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264A720A" w14:textId="77777777" w:rsidR="00B86914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  <w:t>Що у</w:t>
            </w:r>
            <w:r w:rsidR="00B86914" w:rsidRPr="00B86914"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  <w:t xml:space="preserve"> пацієнта</w:t>
            </w: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1105AE1F" w14:textId="77777777" w:rsidR="00B86914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  <w:t>Код МКФ</w:t>
            </w:r>
          </w:p>
        </w:tc>
      </w:tr>
      <w:tr w:rsidR="00B31FDD" w:rsidRPr="00B86914" w14:paraId="56A44BB0" w14:textId="77777777" w:rsidTr="00B31E77">
        <w:tc>
          <w:tcPr>
            <w:tcW w:w="3124" w:type="dxa"/>
            <w:gridSpan w:val="2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648E7909" w14:textId="77777777" w:rsidR="00B31FDD" w:rsidRPr="00B31FDD" w:rsidRDefault="00B31FDD" w:rsidP="00B31FDD">
            <w:pPr>
              <w:spacing w:after="0" w:line="240" w:lineRule="auto"/>
              <w:ind w:left="147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 w:rsidRPr="00B31FDD"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Порушення функції/структури (b/s)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48C64B2D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14:paraId="7A3ECF51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  <w:tr w:rsidR="00B31FDD" w:rsidRPr="00B86914" w14:paraId="738B4B77" w14:textId="77777777" w:rsidTr="00B31E77">
        <w:tc>
          <w:tcPr>
            <w:tcW w:w="3124" w:type="dxa"/>
            <w:gridSpan w:val="2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77F8831D" w14:textId="77777777" w:rsidR="00B31FDD" w:rsidRPr="00B31FDD" w:rsidRDefault="00B31FDD" w:rsidP="00B31FDD">
            <w:pPr>
              <w:spacing w:after="0" w:line="240" w:lineRule="auto"/>
              <w:ind w:left="147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 w:rsidRPr="00B31FDD"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Обмеження активності (d)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13CAEA1F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14:paraId="6A846107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  <w:tr w:rsidR="00B31FDD" w:rsidRPr="00B86914" w14:paraId="05D12003" w14:textId="77777777" w:rsidTr="00B31E77">
        <w:tc>
          <w:tcPr>
            <w:tcW w:w="3124" w:type="dxa"/>
            <w:gridSpan w:val="2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41DB1316" w14:textId="77777777" w:rsidR="00B31FDD" w:rsidRPr="00B31FDD" w:rsidRDefault="00B31FDD" w:rsidP="00B31FDD">
            <w:pPr>
              <w:spacing w:after="0" w:line="240" w:lineRule="auto"/>
              <w:ind w:left="147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 w:rsidRPr="00B31FDD"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Обмеження участі (d)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0C77FA67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14:paraId="71CDF8DD" w14:textId="77777777" w:rsidR="00B31FDD" w:rsidRPr="00B86914" w:rsidRDefault="00B31FDD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  <w:tr w:rsidR="00610086" w:rsidRPr="00B86914" w14:paraId="58CFA22A" w14:textId="77777777" w:rsidTr="00B31E77">
        <w:trPr>
          <w:trHeight w:val="186"/>
        </w:trPr>
        <w:tc>
          <w:tcPr>
            <w:tcW w:w="1706" w:type="dxa"/>
            <w:vMerge w:val="restart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42C5D1F4" w14:textId="77777777" w:rsidR="00610086" w:rsidRPr="00B31FDD" w:rsidRDefault="00610086" w:rsidP="00B31FDD">
            <w:pPr>
              <w:spacing w:after="0" w:line="240" w:lineRule="auto"/>
              <w:ind w:left="147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 w:rsidRPr="00B31FDD"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Чинники середовища (e)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1466B1" w14:textId="77777777" w:rsidR="00610086" w:rsidRPr="00B31FDD" w:rsidRDefault="00610086" w:rsidP="00610086">
            <w:pPr>
              <w:spacing w:after="0" w:line="240" w:lineRule="auto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бар’єри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3BB4611A" w14:textId="77777777" w:rsidR="00610086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14:paraId="11FE0341" w14:textId="77777777" w:rsidR="00610086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  <w:tr w:rsidR="00610086" w:rsidRPr="00B86914" w14:paraId="3F12C9D0" w14:textId="77777777" w:rsidTr="00B31E77">
        <w:trPr>
          <w:trHeight w:val="98"/>
        </w:trPr>
        <w:tc>
          <w:tcPr>
            <w:tcW w:w="1706" w:type="dxa"/>
            <w:vMerge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308CFF06" w14:textId="77777777" w:rsidR="00610086" w:rsidRPr="00B31FDD" w:rsidRDefault="00610086" w:rsidP="00B31FDD">
            <w:pPr>
              <w:spacing w:after="0" w:line="240" w:lineRule="auto"/>
              <w:ind w:left="147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C2053E2" w14:textId="77777777" w:rsidR="00610086" w:rsidRPr="00B31FDD" w:rsidRDefault="00610086" w:rsidP="00610086">
            <w:pPr>
              <w:spacing w:after="0" w:line="240" w:lineRule="auto"/>
              <w:jc w:val="center"/>
              <w:rPr>
                <w:rFonts w:eastAsia="Times New Roman"/>
                <w:bCs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>ресурси</w:t>
            </w:r>
          </w:p>
        </w:tc>
        <w:tc>
          <w:tcPr>
            <w:tcW w:w="4111" w:type="dxa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6F3EE29C" w14:textId="77777777" w:rsidR="00610086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14:paraId="5A886EE2" w14:textId="77777777" w:rsidR="00610086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  <w:tr w:rsidR="00610086" w:rsidRPr="00B86914" w14:paraId="1DF674BD" w14:textId="77777777" w:rsidTr="00B31E77">
        <w:tc>
          <w:tcPr>
            <w:tcW w:w="3124" w:type="dxa"/>
            <w:gridSpan w:val="2"/>
            <w:shd w:val="clear" w:color="auto" w:fill="FFFFFF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14:paraId="4ED5181D" w14:textId="77777777" w:rsidR="00610086" w:rsidRPr="00610086" w:rsidRDefault="00610086" w:rsidP="00B86914">
            <w:pPr>
              <w:spacing w:after="0" w:line="240" w:lineRule="auto"/>
              <w:ind w:left="147"/>
              <w:jc w:val="center"/>
              <w:rPr>
                <w:rFonts w:eastAsia="Times New Roman"/>
                <w:b/>
                <w:color w:val="0F1115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color w:val="0F1115"/>
                <w:szCs w:val="24"/>
                <w:lang w:val="uk-UA" w:eastAsia="ru-RU"/>
              </w:rPr>
              <w:t xml:space="preserve"> </w:t>
            </w:r>
            <w:r w:rsidRPr="00610086">
              <w:rPr>
                <w:rFonts w:eastAsia="Times New Roman"/>
                <w:b/>
                <w:bCs/>
                <w:color w:val="0F1115"/>
                <w:szCs w:val="24"/>
                <w:lang w:val="uk-UA" w:eastAsia="ru-RU"/>
              </w:rPr>
              <w:t>SMART-ціль (спільна з пацієнтом)</w:t>
            </w:r>
          </w:p>
        </w:tc>
        <w:tc>
          <w:tcPr>
            <w:tcW w:w="6237" w:type="dxa"/>
            <w:gridSpan w:val="2"/>
            <w:shd w:val="clear" w:color="auto" w:fill="FFFFFF"/>
            <w:tcMar>
              <w:top w:w="109" w:type="dxa"/>
              <w:left w:w="175" w:type="dxa"/>
              <w:bottom w:w="109" w:type="dxa"/>
              <w:right w:w="175" w:type="dxa"/>
            </w:tcMar>
            <w:vAlign w:val="center"/>
            <w:hideMark/>
          </w:tcPr>
          <w:p w14:paraId="600AEB6C" w14:textId="77777777" w:rsidR="00610086" w:rsidRPr="00B86914" w:rsidRDefault="00610086" w:rsidP="00B86914">
            <w:pPr>
              <w:spacing w:after="0" w:line="240" w:lineRule="auto"/>
              <w:jc w:val="center"/>
              <w:rPr>
                <w:rFonts w:eastAsia="Times New Roman"/>
                <w:color w:val="0F1115"/>
                <w:szCs w:val="24"/>
                <w:lang w:val="uk-UA" w:eastAsia="ru-RU"/>
              </w:rPr>
            </w:pPr>
          </w:p>
        </w:tc>
      </w:tr>
    </w:tbl>
    <w:p w14:paraId="12E93CB9" w14:textId="77777777" w:rsidR="00DF742F" w:rsidRPr="00B86914" w:rsidRDefault="00B86914" w:rsidP="00B86914">
      <w:pPr>
        <w:spacing w:after="0"/>
        <w:ind w:firstLine="709"/>
        <w:jc w:val="both"/>
        <w:rPr>
          <w:szCs w:val="24"/>
          <w:lang w:val="uk-UA"/>
        </w:rPr>
      </w:pPr>
      <w:r w:rsidRPr="00B86914">
        <w:rPr>
          <w:szCs w:val="24"/>
          <w:lang w:val="uk-UA"/>
        </w:rPr>
        <w:t xml:space="preserve"> </w:t>
      </w:r>
    </w:p>
    <w:p w14:paraId="18CB3251" w14:textId="77777777" w:rsidR="00B31E77" w:rsidRDefault="00610086" w:rsidP="00B31E77">
      <w:pPr>
        <w:spacing w:after="0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14:paraId="46560E3D" w14:textId="77777777" w:rsidR="00B31E77" w:rsidRDefault="00B31E77" w:rsidP="00B31E77">
      <w:pPr>
        <w:spacing w:after="0"/>
        <w:ind w:firstLine="709"/>
        <w:jc w:val="both"/>
        <w:rPr>
          <w:b/>
          <w:szCs w:val="24"/>
          <w:lang w:val="uk-UA"/>
        </w:rPr>
      </w:pPr>
      <w:r w:rsidRPr="00312C33">
        <w:rPr>
          <w:b/>
          <w:szCs w:val="24"/>
          <w:lang w:val="uk-UA"/>
        </w:rPr>
        <w:t>Завдання</w:t>
      </w:r>
      <w:r>
        <w:rPr>
          <w:b/>
          <w:szCs w:val="24"/>
          <w:lang w:val="uk-UA"/>
        </w:rPr>
        <w:t xml:space="preserve"> 2.</w:t>
      </w:r>
      <w:r w:rsidRPr="006E61EE">
        <w:rPr>
          <w:b/>
          <w:szCs w:val="24"/>
        </w:rPr>
        <w:t xml:space="preserve"> </w:t>
      </w:r>
      <w:r>
        <w:rPr>
          <w:b/>
          <w:szCs w:val="24"/>
          <w:lang w:val="uk-UA"/>
        </w:rPr>
        <w:t xml:space="preserve">На основі обраної теми курсової роботи складіть таблицю для розділу 3. </w:t>
      </w:r>
    </w:p>
    <w:p w14:paraId="6E6D1891" w14:textId="77777777" w:rsidR="00B31E77" w:rsidRDefault="00B31E77" w:rsidP="00B31E77">
      <w:pPr>
        <w:spacing w:line="240" w:lineRule="auto"/>
        <w:ind w:firstLine="708"/>
        <w:jc w:val="right"/>
        <w:rPr>
          <w:i/>
          <w:iCs/>
          <w:sz w:val="28"/>
          <w:szCs w:val="28"/>
          <w:lang w:val="uk-UA"/>
        </w:rPr>
      </w:pPr>
    </w:p>
    <w:p w14:paraId="6A546DC8" w14:textId="0903D301" w:rsidR="00B31E77" w:rsidRPr="00B31E77" w:rsidRDefault="00B31E77" w:rsidP="00B31E77">
      <w:pPr>
        <w:spacing w:line="240" w:lineRule="auto"/>
        <w:ind w:firstLine="708"/>
        <w:jc w:val="both"/>
        <w:rPr>
          <w:i/>
          <w:iCs/>
          <w:sz w:val="28"/>
          <w:szCs w:val="28"/>
          <w:lang w:val="uk-UA"/>
        </w:rPr>
      </w:pPr>
      <w:r w:rsidRPr="00B31E77">
        <w:rPr>
          <w:iCs/>
          <w:sz w:val="28"/>
          <w:szCs w:val="28"/>
          <w:lang w:val="uk-UA"/>
        </w:rPr>
        <w:lastRenderedPageBreak/>
        <w:t>Таблиця 3.1 –</w:t>
      </w:r>
      <w:r w:rsidRPr="00B31E77">
        <w:rPr>
          <w:i/>
          <w:iCs/>
          <w:sz w:val="28"/>
          <w:szCs w:val="28"/>
          <w:lang w:val="uk-UA"/>
        </w:rPr>
        <w:t xml:space="preserve"> </w:t>
      </w:r>
      <w:r w:rsidR="006E61EE">
        <w:rPr>
          <w:sz w:val="28"/>
          <w:szCs w:val="28"/>
          <w:lang w:val="uk-UA"/>
        </w:rPr>
        <w:t>Набір д</w:t>
      </w:r>
      <w:r w:rsidRPr="00B31E77">
        <w:rPr>
          <w:sz w:val="28"/>
          <w:szCs w:val="28"/>
          <w:lang w:val="uk-UA"/>
        </w:rPr>
        <w:t>омен</w:t>
      </w:r>
      <w:r w:rsidR="006E61EE">
        <w:rPr>
          <w:sz w:val="28"/>
          <w:szCs w:val="28"/>
          <w:lang w:val="uk-UA"/>
        </w:rPr>
        <w:t>ів</w:t>
      </w:r>
      <w:r w:rsidRPr="00B31E77">
        <w:rPr>
          <w:sz w:val="28"/>
          <w:szCs w:val="28"/>
          <w:lang w:val="uk-UA"/>
        </w:rPr>
        <w:t xml:space="preserve"> МКФ</w:t>
      </w:r>
      <w:r w:rsidR="006E61EE">
        <w:rPr>
          <w:sz w:val="28"/>
          <w:szCs w:val="28"/>
          <w:lang w:val="uk-UA"/>
        </w:rPr>
        <w:t xml:space="preserve"> для пацієнта з …..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781"/>
      </w:tblGrid>
      <w:tr w:rsidR="00B31E77" w:rsidRPr="00B31E77" w14:paraId="2D075E19" w14:textId="77777777" w:rsidTr="00B31E77">
        <w:tc>
          <w:tcPr>
            <w:tcW w:w="1681" w:type="dxa"/>
          </w:tcPr>
          <w:p w14:paraId="44047C47" w14:textId="77777777" w:rsidR="00B31E77" w:rsidRPr="00B31E77" w:rsidRDefault="00B31E77" w:rsidP="00910223">
            <w:pPr>
              <w:jc w:val="center"/>
              <w:rPr>
                <w:sz w:val="28"/>
                <w:szCs w:val="28"/>
                <w:lang w:val="uk-UA"/>
              </w:rPr>
            </w:pPr>
            <w:r w:rsidRPr="00B31E77">
              <w:rPr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781" w:type="dxa"/>
          </w:tcPr>
          <w:p w14:paraId="7B209BD6" w14:textId="77777777" w:rsidR="00B31E77" w:rsidRPr="00B31E77" w:rsidRDefault="00B31E77" w:rsidP="00910223">
            <w:pPr>
              <w:jc w:val="center"/>
              <w:rPr>
                <w:sz w:val="28"/>
                <w:szCs w:val="28"/>
                <w:lang w:val="uk-UA"/>
              </w:rPr>
            </w:pPr>
            <w:r w:rsidRPr="00B31E77">
              <w:rPr>
                <w:sz w:val="28"/>
                <w:szCs w:val="28"/>
                <w:lang w:val="uk-UA"/>
              </w:rPr>
              <w:t>Назва категорії</w:t>
            </w:r>
          </w:p>
        </w:tc>
      </w:tr>
      <w:tr w:rsidR="00B31E77" w:rsidRPr="00B31E77" w14:paraId="534F7CE8" w14:textId="77777777" w:rsidTr="00B31E77">
        <w:tc>
          <w:tcPr>
            <w:tcW w:w="9462" w:type="dxa"/>
            <w:gridSpan w:val="2"/>
          </w:tcPr>
          <w:p w14:paraId="0EB1BA94" w14:textId="77777777" w:rsidR="00B31E77" w:rsidRPr="00B31E77" w:rsidRDefault="00B31E77" w:rsidP="0091022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Розділ «Функції організму»</w:t>
            </w:r>
          </w:p>
        </w:tc>
      </w:tr>
      <w:tr w:rsidR="00B31E77" w:rsidRPr="00B31E77" w14:paraId="165155F9" w14:textId="77777777" w:rsidTr="00B31E77">
        <w:tc>
          <w:tcPr>
            <w:tcW w:w="1681" w:type="dxa"/>
          </w:tcPr>
          <w:p w14:paraId="2B77B284" w14:textId="77777777" w:rsidR="00B31E77" w:rsidRPr="00B31E77" w:rsidRDefault="00B31E77" w:rsidP="00B31E77">
            <w:pPr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b</w:t>
            </w:r>
          </w:p>
        </w:tc>
        <w:tc>
          <w:tcPr>
            <w:tcW w:w="7781" w:type="dxa"/>
          </w:tcPr>
          <w:p w14:paraId="2A082A73" w14:textId="77777777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</w:p>
        </w:tc>
      </w:tr>
      <w:tr w:rsidR="00B31E77" w:rsidRPr="00B31E77" w14:paraId="28E27D3A" w14:textId="77777777" w:rsidTr="00B31E77">
        <w:tc>
          <w:tcPr>
            <w:tcW w:w="1681" w:type="dxa"/>
          </w:tcPr>
          <w:p w14:paraId="495BDCEA" w14:textId="77777777" w:rsidR="00B31E77" w:rsidRPr="00B31E77" w:rsidRDefault="00B31E77" w:rsidP="00B31E77">
            <w:pPr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b</w:t>
            </w:r>
          </w:p>
        </w:tc>
        <w:tc>
          <w:tcPr>
            <w:tcW w:w="7781" w:type="dxa"/>
          </w:tcPr>
          <w:p w14:paraId="6436E455" w14:textId="77777777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</w:p>
        </w:tc>
      </w:tr>
      <w:tr w:rsidR="00B31E77" w:rsidRPr="00B31E77" w14:paraId="4A427347" w14:textId="77777777" w:rsidTr="00B31E77">
        <w:trPr>
          <w:trHeight w:val="222"/>
        </w:trPr>
        <w:tc>
          <w:tcPr>
            <w:tcW w:w="1681" w:type="dxa"/>
          </w:tcPr>
          <w:p w14:paraId="13EAE693" w14:textId="77777777" w:rsidR="00B31E77" w:rsidRPr="00B31E77" w:rsidRDefault="00B31E77" w:rsidP="00B31E77">
            <w:pPr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b</w:t>
            </w:r>
          </w:p>
        </w:tc>
        <w:tc>
          <w:tcPr>
            <w:tcW w:w="7781" w:type="dxa"/>
          </w:tcPr>
          <w:p w14:paraId="359C5A56" w14:textId="77777777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</w:p>
        </w:tc>
      </w:tr>
      <w:tr w:rsidR="00B31E77" w:rsidRPr="00B31E77" w14:paraId="19126F3E" w14:textId="77777777" w:rsidTr="00B31E77">
        <w:tc>
          <w:tcPr>
            <w:tcW w:w="9462" w:type="dxa"/>
            <w:gridSpan w:val="2"/>
          </w:tcPr>
          <w:p w14:paraId="724D430E" w14:textId="77777777" w:rsidR="00B31E77" w:rsidRPr="00B31E77" w:rsidRDefault="00B31E77" w:rsidP="0091022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Розділ «Структури організму»</w:t>
            </w:r>
          </w:p>
        </w:tc>
      </w:tr>
      <w:tr w:rsidR="00B31E77" w:rsidRPr="00B31E77" w14:paraId="005B441A" w14:textId="77777777" w:rsidTr="00B31E77">
        <w:tc>
          <w:tcPr>
            <w:tcW w:w="1681" w:type="dxa"/>
          </w:tcPr>
          <w:p w14:paraId="73425A70" w14:textId="47189E79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s</w:t>
            </w:r>
          </w:p>
        </w:tc>
        <w:tc>
          <w:tcPr>
            <w:tcW w:w="7781" w:type="dxa"/>
          </w:tcPr>
          <w:p w14:paraId="53946E60" w14:textId="68F0BF38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</w:p>
        </w:tc>
      </w:tr>
      <w:tr w:rsidR="00B31E77" w:rsidRPr="00B31E77" w14:paraId="7591EE99" w14:textId="77777777" w:rsidTr="00B31E77">
        <w:trPr>
          <w:trHeight w:val="168"/>
        </w:trPr>
        <w:tc>
          <w:tcPr>
            <w:tcW w:w="1681" w:type="dxa"/>
          </w:tcPr>
          <w:p w14:paraId="48504A26" w14:textId="00B54F2C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s</w:t>
            </w:r>
          </w:p>
        </w:tc>
        <w:tc>
          <w:tcPr>
            <w:tcW w:w="7781" w:type="dxa"/>
          </w:tcPr>
          <w:p w14:paraId="4B397031" w14:textId="76E4A753" w:rsidR="00B31E77" w:rsidRPr="00B31E77" w:rsidRDefault="00B31E77" w:rsidP="00910223">
            <w:pPr>
              <w:rPr>
                <w:sz w:val="28"/>
                <w:szCs w:val="28"/>
                <w:lang w:val="uk-UA"/>
              </w:rPr>
            </w:pPr>
          </w:p>
        </w:tc>
      </w:tr>
      <w:tr w:rsidR="006E61EE" w:rsidRPr="00B31E77" w14:paraId="3A377C10" w14:textId="77777777" w:rsidTr="006E61EE">
        <w:trPr>
          <w:trHeight w:val="168"/>
        </w:trPr>
        <w:tc>
          <w:tcPr>
            <w:tcW w:w="9462" w:type="dxa"/>
            <w:gridSpan w:val="2"/>
            <w:vAlign w:val="center"/>
          </w:tcPr>
          <w:p w14:paraId="7B9C6765" w14:textId="4950E62E" w:rsidR="006E61EE" w:rsidRPr="00B31E77" w:rsidRDefault="006E61EE" w:rsidP="006E61EE">
            <w:pPr>
              <w:jc w:val="center"/>
              <w:rPr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Розділ «Активність та участь»</w:t>
            </w:r>
          </w:p>
        </w:tc>
      </w:tr>
      <w:tr w:rsidR="006E61EE" w:rsidRPr="00B31E77" w14:paraId="6D30C2B4" w14:textId="77777777" w:rsidTr="00B31E77">
        <w:trPr>
          <w:trHeight w:val="168"/>
        </w:trPr>
        <w:tc>
          <w:tcPr>
            <w:tcW w:w="1681" w:type="dxa"/>
          </w:tcPr>
          <w:p w14:paraId="7D9F3AB7" w14:textId="5892AB1B" w:rsidR="006E61EE" w:rsidRPr="00B31E77" w:rsidRDefault="006E61EE" w:rsidP="006E61E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d</w:t>
            </w:r>
          </w:p>
        </w:tc>
        <w:tc>
          <w:tcPr>
            <w:tcW w:w="7781" w:type="dxa"/>
          </w:tcPr>
          <w:p w14:paraId="609C7491" w14:textId="3CF40F24" w:rsidR="006E61EE" w:rsidRPr="00B31E77" w:rsidRDefault="006E61EE" w:rsidP="006E61EE">
            <w:pPr>
              <w:rPr>
                <w:sz w:val="28"/>
                <w:szCs w:val="28"/>
                <w:lang w:val="uk-UA"/>
              </w:rPr>
            </w:pPr>
          </w:p>
        </w:tc>
      </w:tr>
      <w:tr w:rsidR="006E61EE" w:rsidRPr="00B31E77" w14:paraId="290E5B30" w14:textId="77777777" w:rsidTr="00B31E77">
        <w:trPr>
          <w:trHeight w:val="168"/>
        </w:trPr>
        <w:tc>
          <w:tcPr>
            <w:tcW w:w="1681" w:type="dxa"/>
          </w:tcPr>
          <w:p w14:paraId="0DA45180" w14:textId="34D5D0E9" w:rsidR="006E61EE" w:rsidRPr="00B31E77" w:rsidRDefault="006E61EE" w:rsidP="006E61E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d</w:t>
            </w:r>
          </w:p>
        </w:tc>
        <w:tc>
          <w:tcPr>
            <w:tcW w:w="7781" w:type="dxa"/>
          </w:tcPr>
          <w:p w14:paraId="73D7636E" w14:textId="79F5B8CF" w:rsidR="006E61EE" w:rsidRPr="00B31E77" w:rsidRDefault="006E61EE" w:rsidP="006E61EE">
            <w:pPr>
              <w:rPr>
                <w:sz w:val="28"/>
                <w:szCs w:val="28"/>
                <w:lang w:val="uk-UA"/>
              </w:rPr>
            </w:pPr>
          </w:p>
        </w:tc>
      </w:tr>
      <w:tr w:rsidR="006E61EE" w:rsidRPr="00B31E77" w14:paraId="1FEE746E" w14:textId="77777777" w:rsidTr="00B31E77">
        <w:trPr>
          <w:trHeight w:val="168"/>
        </w:trPr>
        <w:tc>
          <w:tcPr>
            <w:tcW w:w="1681" w:type="dxa"/>
          </w:tcPr>
          <w:p w14:paraId="26CD0D64" w14:textId="1477219F" w:rsidR="006E61EE" w:rsidRPr="00B31E77" w:rsidRDefault="006E61EE" w:rsidP="006E61E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d</w:t>
            </w:r>
          </w:p>
        </w:tc>
        <w:tc>
          <w:tcPr>
            <w:tcW w:w="7781" w:type="dxa"/>
          </w:tcPr>
          <w:p w14:paraId="23877DB6" w14:textId="62BFCA25" w:rsidR="006E61EE" w:rsidRPr="00B31E77" w:rsidRDefault="006E61EE" w:rsidP="006E61EE">
            <w:pPr>
              <w:rPr>
                <w:sz w:val="28"/>
                <w:szCs w:val="28"/>
                <w:lang w:val="uk-UA"/>
              </w:rPr>
            </w:pPr>
          </w:p>
        </w:tc>
      </w:tr>
      <w:tr w:rsidR="006E61EE" w:rsidRPr="00B31E77" w14:paraId="271678D4" w14:textId="77777777" w:rsidTr="00B31E77">
        <w:trPr>
          <w:trHeight w:val="168"/>
        </w:trPr>
        <w:tc>
          <w:tcPr>
            <w:tcW w:w="1681" w:type="dxa"/>
          </w:tcPr>
          <w:p w14:paraId="19F5541D" w14:textId="621E880B" w:rsidR="006E61EE" w:rsidRPr="00B31E77" w:rsidRDefault="006E61EE" w:rsidP="006E61E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31E77">
              <w:rPr>
                <w:b/>
                <w:bCs/>
                <w:sz w:val="28"/>
                <w:szCs w:val="28"/>
                <w:lang w:val="uk-UA"/>
              </w:rPr>
              <w:t>d</w:t>
            </w:r>
          </w:p>
        </w:tc>
        <w:tc>
          <w:tcPr>
            <w:tcW w:w="7781" w:type="dxa"/>
          </w:tcPr>
          <w:p w14:paraId="73A8A031" w14:textId="72BACB79" w:rsidR="006E61EE" w:rsidRPr="00B31E77" w:rsidRDefault="006E61EE" w:rsidP="006E61E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A7B6BE0" w14:textId="77777777" w:rsidR="00B31E77" w:rsidRPr="00B31E77" w:rsidRDefault="00B31E77" w:rsidP="00B31E77">
      <w:pPr>
        <w:spacing w:line="360" w:lineRule="auto"/>
        <w:ind w:firstLine="720"/>
        <w:jc w:val="right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</w:p>
    <w:p w14:paraId="3D56B33C" w14:textId="77777777" w:rsidR="00B31E77" w:rsidRPr="00B31E77" w:rsidRDefault="00B31E77" w:rsidP="00B31E77">
      <w:pPr>
        <w:spacing w:after="0"/>
        <w:ind w:firstLine="709"/>
        <w:jc w:val="both"/>
        <w:rPr>
          <w:b/>
          <w:szCs w:val="24"/>
          <w:lang w:val="uk-UA"/>
        </w:rPr>
      </w:pPr>
    </w:p>
    <w:p w14:paraId="4226E0F5" w14:textId="77777777" w:rsidR="008F3AE7" w:rsidRPr="00B31E77" w:rsidRDefault="008F3AE7" w:rsidP="008F3AE7">
      <w:pPr>
        <w:spacing w:after="0"/>
        <w:ind w:firstLine="709"/>
        <w:jc w:val="both"/>
        <w:rPr>
          <w:lang w:val="uk-UA"/>
        </w:rPr>
      </w:pPr>
    </w:p>
    <w:sectPr w:rsidR="008F3AE7" w:rsidRPr="00B31E77" w:rsidSect="00B31E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C80"/>
    <w:multiLevelType w:val="hybridMultilevel"/>
    <w:tmpl w:val="1514DCF0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8C61EA"/>
    <w:multiLevelType w:val="multilevel"/>
    <w:tmpl w:val="2E1C7136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0643B1A"/>
    <w:multiLevelType w:val="hybridMultilevel"/>
    <w:tmpl w:val="33E8BEA6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001F7D"/>
    <w:multiLevelType w:val="multilevel"/>
    <w:tmpl w:val="4DAEA2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2FA5B6C"/>
    <w:multiLevelType w:val="multilevel"/>
    <w:tmpl w:val="2FAAFCFC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08435D0"/>
    <w:multiLevelType w:val="multilevel"/>
    <w:tmpl w:val="6A826A36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782"/>
    <w:rsid w:val="000612A2"/>
    <w:rsid w:val="00073ED9"/>
    <w:rsid w:val="00075217"/>
    <w:rsid w:val="000E6782"/>
    <w:rsid w:val="000F4349"/>
    <w:rsid w:val="00130C43"/>
    <w:rsid w:val="001C297F"/>
    <w:rsid w:val="001E6782"/>
    <w:rsid w:val="00277282"/>
    <w:rsid w:val="00312C33"/>
    <w:rsid w:val="003829F3"/>
    <w:rsid w:val="00447CE1"/>
    <w:rsid w:val="00480A2A"/>
    <w:rsid w:val="004B4292"/>
    <w:rsid w:val="00537FDB"/>
    <w:rsid w:val="0054011E"/>
    <w:rsid w:val="0059075B"/>
    <w:rsid w:val="005C46E8"/>
    <w:rsid w:val="005E0E43"/>
    <w:rsid w:val="005F50FD"/>
    <w:rsid w:val="00605FF4"/>
    <w:rsid w:val="00610086"/>
    <w:rsid w:val="00641267"/>
    <w:rsid w:val="00652BEF"/>
    <w:rsid w:val="0068154C"/>
    <w:rsid w:val="006E61EE"/>
    <w:rsid w:val="0071367A"/>
    <w:rsid w:val="00725D1B"/>
    <w:rsid w:val="00733E28"/>
    <w:rsid w:val="00736C58"/>
    <w:rsid w:val="00753A61"/>
    <w:rsid w:val="007B17CD"/>
    <w:rsid w:val="00817DAE"/>
    <w:rsid w:val="00853795"/>
    <w:rsid w:val="008A2E2F"/>
    <w:rsid w:val="008A59AB"/>
    <w:rsid w:val="008F1631"/>
    <w:rsid w:val="008F3AE7"/>
    <w:rsid w:val="009240A8"/>
    <w:rsid w:val="009E2888"/>
    <w:rsid w:val="00A67D87"/>
    <w:rsid w:val="00AB7CFD"/>
    <w:rsid w:val="00B276A1"/>
    <w:rsid w:val="00B31E77"/>
    <w:rsid w:val="00B31FDD"/>
    <w:rsid w:val="00B47038"/>
    <w:rsid w:val="00B86914"/>
    <w:rsid w:val="00BE20F8"/>
    <w:rsid w:val="00C32BBE"/>
    <w:rsid w:val="00C9410E"/>
    <w:rsid w:val="00CF59FD"/>
    <w:rsid w:val="00D96D90"/>
    <w:rsid w:val="00DF742F"/>
    <w:rsid w:val="00E673B7"/>
    <w:rsid w:val="00F674FA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BB37"/>
  <w15:docId w15:val="{38E483EF-D755-4341-9332-7F052EBC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9"/>
    <w:qFormat/>
    <w:rsid w:val="009E2888"/>
    <w:pPr>
      <w:widowControl w:val="0"/>
      <w:autoSpaceDE w:val="0"/>
      <w:autoSpaceDN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8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075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075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312C33"/>
    <w:pPr>
      <w:ind w:left="720"/>
      <w:contextualSpacing/>
    </w:pPr>
  </w:style>
  <w:style w:type="paragraph" w:customStyle="1" w:styleId="TableParagraph">
    <w:name w:val="Table Paragraph"/>
    <w:basedOn w:val="a"/>
    <w:rsid w:val="00725D1B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Cs w:val="24"/>
      <w:lang w:val="uk-UA" w:eastAsia="uk-UA"/>
    </w:rPr>
  </w:style>
  <w:style w:type="paragraph" w:customStyle="1" w:styleId="1">
    <w:name w:val="Абзац списка1"/>
    <w:basedOn w:val="a"/>
    <w:rsid w:val="009E2888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9E2888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Cs w:val="24"/>
      <w:lang w:val="uk-UA" w:eastAsia="uk-UA"/>
    </w:rPr>
  </w:style>
  <w:style w:type="character" w:customStyle="1" w:styleId="aa">
    <w:name w:val="Основной текст Знак"/>
    <w:basedOn w:val="a0"/>
    <w:link w:val="a9"/>
    <w:uiPriority w:val="99"/>
    <w:rsid w:val="009E2888"/>
    <w:rPr>
      <w:rFonts w:eastAsia="Times New Roman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rsid w:val="009E2888"/>
    <w:rPr>
      <w:rFonts w:eastAsia="Times New Roman"/>
      <w:b/>
      <w:bCs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41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Strong"/>
    <w:basedOn w:val="a0"/>
    <w:uiPriority w:val="22"/>
    <w:qFormat/>
    <w:rsid w:val="00B86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3411">
                      <w:blockQuote w:val="1"/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369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0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60380">
                          <w:blockQuote w:val="1"/>
                          <w:marLeft w:val="0"/>
                          <w:marRight w:val="0"/>
                          <w:marTop w:val="1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5398">
                      <w:marLeft w:val="0"/>
                      <w:marRight w:val="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39540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1700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59752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97600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6188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183195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1649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920258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1353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470939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4822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86369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3136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97596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5215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171831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2843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764211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4582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391965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18661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691141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680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09802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834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521675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74051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77606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2773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981023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0049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304487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7210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976687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453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19534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677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93680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2226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70378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2631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64046">
                      <w:marLeft w:val="0"/>
                      <w:marRight w:val="87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69638">
                          <w:marLeft w:val="0"/>
                          <w:marRight w:val="1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09925">
          <w:marLeft w:val="349"/>
          <w:marRight w:val="349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2210">
                              <w:marLeft w:val="0"/>
                              <w:marRight w:val="1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2568">
                              <w:marLeft w:val="0"/>
                              <w:marRight w:val="1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21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695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B35D-0082-4EDA-9404-8BC584DD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Акулов</cp:lastModifiedBy>
  <cp:revision>5</cp:revision>
  <dcterms:created xsi:type="dcterms:W3CDTF">2026-01-26T11:33:00Z</dcterms:created>
  <dcterms:modified xsi:type="dcterms:W3CDTF">2026-02-02T19:07:00Z</dcterms:modified>
</cp:coreProperties>
</file>