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0CC4" w:rsidRPr="00820CC4" w:rsidRDefault="00820CC4" w:rsidP="00820CC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Колізійна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норма та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правові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подолання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законів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у МПП</w:t>
      </w:r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  <w:r w:rsidRPr="00820CC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Колізійна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норма: природа, генезис та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архітектоніка</w:t>
      </w:r>
      <w:proofErr w:type="spellEnd"/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Колізійна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норма є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специфічним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елементом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правової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виступає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інтелектуальним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«ядром»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приватного права.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зумовлене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об’єктивною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реальністю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існуванням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множини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незалежних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національних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правопорядків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претендує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приватних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. Коли у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</w:t>
      </w:r>
      <w:bookmarkStart w:id="0" w:name="_GoBack"/>
      <w:bookmarkEnd w:id="0"/>
      <w:r w:rsidRPr="00820CC4">
        <w:rPr>
          <w:rFonts w:ascii="Times New Roman" w:hAnsi="Times New Roman" w:cs="Times New Roman"/>
          <w:sz w:val="28"/>
          <w:szCs w:val="28"/>
        </w:rPr>
        <w:t>ідносинах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з’являється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іноземний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елемент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виникає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правова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невизначеність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: закон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панувати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Колізійна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норма не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розв’язує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спір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суті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(вона не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каже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правий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), вона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виконує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вищу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функцію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правопорядку.</w:t>
      </w:r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  <w:r w:rsidRPr="00820CC4">
        <w:rPr>
          <w:rFonts w:ascii="Times New Roman" w:hAnsi="Times New Roman" w:cs="Times New Roman"/>
          <w:sz w:val="28"/>
          <w:szCs w:val="28"/>
        </w:rPr>
        <w:t xml:space="preserve">Структурно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колізійна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норма радикально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відрізняється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класичної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матеріальної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звичайна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норма права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гіпотези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диспозиції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санкції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колізійна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норма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двочленну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структуру: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прив’язку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>.</w:t>
      </w:r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Pervasio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суспільних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, до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норма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звертається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вузьким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, «форма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заповіту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»)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широким («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спадкові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відносини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»).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обсязі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законодавець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окреслює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межі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колізійного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правила.</w:t>
      </w:r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Колізійна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прив’язка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Lex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юридична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вказівка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конкретний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критерій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застосовуване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право.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«компас»,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вказує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напрямок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компетентної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правової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нормі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правоздатність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особи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законом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громадянства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правоздатність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, а «закон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громадянства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прив’язка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>.</w:t>
      </w:r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  <w:r w:rsidRPr="00820CC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Типологія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колізійних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норм: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егоцентризму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універсалізму</w:t>
      </w:r>
      <w:proofErr w:type="spellEnd"/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  <w:r w:rsidRPr="00820CC4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доктрині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МПП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колізійні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класифікують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за вектором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їхньої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виділити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дві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ключові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односторонні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двосторонні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>.</w:t>
      </w:r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0CC4">
        <w:rPr>
          <w:rFonts w:ascii="Times New Roman" w:hAnsi="Times New Roman" w:cs="Times New Roman"/>
          <w:sz w:val="28"/>
          <w:szCs w:val="28"/>
        </w:rPr>
        <w:lastRenderedPageBreak/>
        <w:t>Односторонні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колізійні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вияв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протекціонізму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Така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норма прямо і безальтернативно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вказує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власного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вітчизняного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права. Вона не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припускає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іноземного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закону.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>, норма «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Шлюб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укладається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за правом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» є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односторонньою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. Вона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захищає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внутрішній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правопорядок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іноземного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чутливих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сферах.</w:t>
      </w:r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Двосторонні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колізійні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фундамент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співробітництва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Така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норма не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називає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конкретну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державу, а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формулює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абстрактний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принцип (формулу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прикріплення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обставин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привести як до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права, так і до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іноземного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: «Право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нерухомість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правом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, де вона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сліпа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» норма, вона не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знає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заздалегідь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, право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обрано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поки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встановлено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місцезнаходження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об'єкта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рівність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держав та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запобігають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правовому хаосу.</w:t>
      </w:r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існують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імперативні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неможливо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змінити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за волею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) та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диспозитивні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учасникам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самим обрати право (принцип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автономії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волі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Окрему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групу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складають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альтернативні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пропонують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кілька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варіантів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вибору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права (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, для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визнання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шлюбу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дійсним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достатньо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дотриматися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укладення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громадянства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одного з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подружжя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>).</w:t>
      </w:r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  <w:r w:rsidRPr="00820CC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Формули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прикріплення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інструментарій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колізійного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вибору</w:t>
      </w:r>
      <w:proofErr w:type="spellEnd"/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Формули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прикріплення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квінтесенція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багатовікового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юристів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сталі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типи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прив’язок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законодавстві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Розглянемо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>:</w:t>
      </w:r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0CC4">
        <w:rPr>
          <w:rFonts w:ascii="Times New Roman" w:hAnsi="Times New Roman" w:cs="Times New Roman"/>
          <w:sz w:val="28"/>
          <w:szCs w:val="28"/>
        </w:rPr>
        <w:t>Lex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personalis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Особистий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закон):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статус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континентальної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Європи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частіше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реалізується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lex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patriae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(закон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громадянства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), а в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загального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права (США,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Британія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20CC4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lex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domicilii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(закон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>).</w:t>
      </w:r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0CC4">
        <w:rPr>
          <w:rFonts w:ascii="Times New Roman" w:hAnsi="Times New Roman" w:cs="Times New Roman"/>
          <w:sz w:val="28"/>
          <w:szCs w:val="28"/>
        </w:rPr>
        <w:t>Lex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rei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sitae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(Закон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знаходження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речі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непорушне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правило для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нерухомості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більшості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рухомих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речей.</w:t>
      </w:r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0CC4">
        <w:rPr>
          <w:rFonts w:ascii="Times New Roman" w:hAnsi="Times New Roman" w:cs="Times New Roman"/>
          <w:sz w:val="28"/>
          <w:szCs w:val="28"/>
        </w:rPr>
        <w:t>Lex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loci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actus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(Закон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вчинення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акта):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застосовується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підвидом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lex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loci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celebrationis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(закон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укладення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шлюбу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>).</w:t>
      </w:r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0CC4">
        <w:rPr>
          <w:rFonts w:ascii="Times New Roman" w:hAnsi="Times New Roman" w:cs="Times New Roman"/>
          <w:sz w:val="28"/>
          <w:szCs w:val="28"/>
        </w:rPr>
        <w:t>Lex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voluntatis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(Закон,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обраний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сторонами): «золоте правило»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торгівлі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, де воля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первинною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>.</w:t>
      </w:r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0CC4">
        <w:rPr>
          <w:rFonts w:ascii="Times New Roman" w:hAnsi="Times New Roman" w:cs="Times New Roman"/>
          <w:sz w:val="28"/>
          <w:szCs w:val="28"/>
        </w:rPr>
        <w:t>Lex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loci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delicti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(Закон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вчинення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правопорушення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заподіяну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шкоду (ДТП,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екологічні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катастрофи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>).</w:t>
      </w:r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0CC4">
        <w:rPr>
          <w:rFonts w:ascii="Times New Roman" w:hAnsi="Times New Roman" w:cs="Times New Roman"/>
          <w:sz w:val="28"/>
          <w:szCs w:val="28"/>
        </w:rPr>
        <w:t>Lex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fori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(Закон суду):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універсальне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правило для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20CC4">
        <w:rPr>
          <w:rFonts w:ascii="Times New Roman" w:hAnsi="Times New Roman" w:cs="Times New Roman"/>
          <w:sz w:val="28"/>
          <w:szCs w:val="28"/>
        </w:rPr>
        <w:t xml:space="preserve"> суд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судить за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власними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правилами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процедури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застосовує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іноземне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матеріальне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право.</w:t>
      </w:r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  <w:r w:rsidRPr="00820CC4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Складні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Кваліфікація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конфлікт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очікувань</w:t>
      </w:r>
      <w:proofErr w:type="spellEnd"/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  <w:r w:rsidRPr="00820CC4">
        <w:rPr>
          <w:rFonts w:ascii="Times New Roman" w:hAnsi="Times New Roman" w:cs="Times New Roman"/>
          <w:sz w:val="28"/>
          <w:szCs w:val="28"/>
        </w:rPr>
        <w:t xml:space="preserve">Проблема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(лат.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qualificatione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виникає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іноземне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вітчизняне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по-різному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тлумачать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одні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самі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юридичні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є «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штрафні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санкції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договору (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матеріальне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право)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способом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суді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процесуальне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право)?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суддя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помилиться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обере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неправильну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колізійну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норму.</w:t>
      </w:r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три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подолання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>:</w:t>
      </w:r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Кваліфікація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lex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fori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тлумачення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термінів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національним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правом суду.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традиційний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шлях.</w:t>
      </w:r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Кваліфікація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lex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causae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тлумачення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термінів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за правом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тієї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вказана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колізійній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нормі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>.</w:t>
      </w:r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  <w:r w:rsidRPr="00820CC4">
        <w:rPr>
          <w:rFonts w:ascii="Times New Roman" w:hAnsi="Times New Roman" w:cs="Times New Roman"/>
          <w:sz w:val="28"/>
          <w:szCs w:val="28"/>
        </w:rPr>
        <w:t xml:space="preserve">Автономна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кваліфікація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пошук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вищого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загальноприйнятого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терміна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(часто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конвенціях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уникнути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національних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викривлень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>).</w:t>
      </w:r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  <w:r w:rsidRPr="00820CC4">
        <w:rPr>
          <w:rFonts w:ascii="Times New Roman" w:hAnsi="Times New Roman" w:cs="Times New Roman"/>
          <w:sz w:val="28"/>
          <w:szCs w:val="28"/>
        </w:rPr>
        <w:t xml:space="preserve">5. Феномен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зворотного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відсилання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Renvoi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>)</w:t>
      </w:r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Зворотне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відсилання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ситуація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юридичного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футболу».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Припустимо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колізійна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норма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відсилає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до права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Австрії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Суддя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відкриває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австрійське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право, але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власна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колізійна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норма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каже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регулюватися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правом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>».</w:t>
      </w:r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породжує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дилему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«право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Австрії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матеріальні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цивільний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кодекс)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колізійні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>?</w:t>
      </w:r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  <w:r w:rsidRPr="00820CC4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МПП (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діє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правило: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відсилання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іноземного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вважається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відсиланням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матеріальних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норм,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зупиняє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ланцюгову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реакцію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спадковому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сімейному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праві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зворотне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відсилання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іноді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приймається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єдність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статусу особи в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>.</w:t>
      </w:r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  <w:r w:rsidRPr="00820CC4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Публічний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порядок: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Застереження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захисні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Застереження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публічний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порядок (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ordre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public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екстрене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гальмо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правової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. Держава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іноземне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право, але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доти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, доки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суперечить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фундаментальним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засадам.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іноземна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норма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вимагає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порушують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моралі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конституційний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лад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, суд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право (і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обов'язок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відмовити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застосуванні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>.</w:t>
      </w:r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розрізняти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>:</w:t>
      </w:r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Позитивне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застереження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національних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норм,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застосовуються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імперативні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>).</w:t>
      </w:r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Негативне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застереження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відмова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іноземної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несумісність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вітчизняним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правопорядком.</w:t>
      </w:r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Публічний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порядок не є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статичним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еволюціонує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разом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суспільством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. Те,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неприйнятним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50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тому,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правової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реальності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>.</w:t>
      </w:r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  <w:r w:rsidRPr="00820CC4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Обхід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закону та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0CC4">
        <w:rPr>
          <w:rFonts w:ascii="Times New Roman" w:hAnsi="Times New Roman" w:cs="Times New Roman"/>
          <w:sz w:val="28"/>
          <w:szCs w:val="28"/>
        </w:rPr>
        <w:lastRenderedPageBreak/>
        <w:t>Обхід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закону (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fraus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legis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маніпуляція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іноземним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елементом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штучно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змінити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громадянство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компанії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укладення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угоди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для того,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вийти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з-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суворого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закону і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підпорядкувати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себе «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зручному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іноземному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праву.</w:t>
      </w:r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Правова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система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бореться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буде доведено,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іноземний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елемент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створений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штучно </w:t>
      </w:r>
      <w:proofErr w:type="gramStart"/>
      <w:r w:rsidRPr="00820CC4">
        <w:rPr>
          <w:rFonts w:ascii="Times New Roman" w:hAnsi="Times New Roman" w:cs="Times New Roman"/>
          <w:sz w:val="28"/>
          <w:szCs w:val="28"/>
        </w:rPr>
        <w:t>для обходу</w:t>
      </w:r>
      <w:proofErr w:type="gram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імперативних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норм,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визнаються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нікчемними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іноземне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право не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застосовується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маніпуляцій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>.</w:t>
      </w:r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  <w:r w:rsidRPr="00820CC4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Взаємність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реторсія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праві</w:t>
      </w:r>
      <w:proofErr w:type="spellEnd"/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  <w:r w:rsidRPr="00820CC4">
        <w:rPr>
          <w:rFonts w:ascii="Times New Roman" w:hAnsi="Times New Roman" w:cs="Times New Roman"/>
          <w:sz w:val="28"/>
          <w:szCs w:val="28"/>
        </w:rPr>
        <w:t xml:space="preserve">МПП не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вакуумі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тісно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пов’язане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політикою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держав.</w:t>
      </w:r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Взаємність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принцип «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20CC4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тобі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». Вона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надаватиме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іноземцям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певні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права (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, право на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працю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їхня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держава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надає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ж права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українцям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Взаємність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зазвичай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припускається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презумпція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взаємності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поки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не доведено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протилежне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>.</w:t>
      </w:r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Реторсія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законна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відповідь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дискримінацію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іноземна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держава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безпідставно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обмежує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, Уряд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право ввести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аналогічні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обмеження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засіб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справедливості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міжнародній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арені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>.</w:t>
      </w:r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  <w:r w:rsidRPr="00820CC4">
        <w:rPr>
          <w:rFonts w:ascii="Times New Roman" w:hAnsi="Times New Roman" w:cs="Times New Roman"/>
          <w:sz w:val="28"/>
          <w:szCs w:val="28"/>
        </w:rPr>
        <w:t xml:space="preserve">9. Практика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іноземного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права</w:t>
      </w:r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  <w:r w:rsidRPr="00820CC4">
        <w:rPr>
          <w:rFonts w:ascii="Times New Roman" w:hAnsi="Times New Roman" w:cs="Times New Roman"/>
          <w:sz w:val="28"/>
          <w:szCs w:val="28"/>
        </w:rPr>
        <w:t xml:space="preserve">Коли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суддя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доходить до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висновку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застосувати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право,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Бразилії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виникає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практична проблема: де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взяти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текст закону і як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зрозуміти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>?</w:t>
      </w:r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  <w:r w:rsidRPr="00820CC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іноземного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права є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обов’язком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суду (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ex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officio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). Суд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>:</w:t>
      </w:r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Надіслати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запит до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юстиції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>.</w:t>
      </w:r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0CC4">
        <w:rPr>
          <w:rFonts w:ascii="Times New Roman" w:hAnsi="Times New Roman" w:cs="Times New Roman"/>
          <w:sz w:val="28"/>
          <w:szCs w:val="28"/>
        </w:rPr>
        <w:lastRenderedPageBreak/>
        <w:t>Звернутися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експертів-науковців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>.</w:t>
      </w:r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Зобов’язати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іноземних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норм (особливо в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комерційних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спорах).</w:t>
      </w:r>
    </w:p>
    <w:p w:rsidR="00820CC4" w:rsidRPr="00820CC4" w:rsidRDefault="00820CC4" w:rsidP="00820CC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іноземного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права не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вдалося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незважаючи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зусилля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, суд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застосовує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lex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fori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робиться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для того,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залишати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 xml:space="preserve"> справу без </w:t>
      </w:r>
      <w:proofErr w:type="spellStart"/>
      <w:r w:rsidRPr="00820CC4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820CC4">
        <w:rPr>
          <w:rFonts w:ascii="Times New Roman" w:hAnsi="Times New Roman" w:cs="Times New Roman"/>
          <w:sz w:val="28"/>
          <w:szCs w:val="28"/>
        </w:rPr>
        <w:t>.</w:t>
      </w:r>
    </w:p>
    <w:sectPr w:rsidR="00820CC4" w:rsidRPr="00820C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C4"/>
    <w:rsid w:val="0082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F1E688-B8DB-49DD-B3EA-45FF2300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1239</Words>
  <Characters>7064</Characters>
  <Application>Microsoft Office Word</Application>
  <DocSecurity>0</DocSecurity>
  <Lines>58</Lines>
  <Paragraphs>16</Paragraphs>
  <ScaleCrop>false</ScaleCrop>
  <Company/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Max</dc:creator>
  <cp:keywords/>
  <dc:description/>
  <cp:lastModifiedBy>Max Max</cp:lastModifiedBy>
  <cp:revision>1</cp:revision>
  <dcterms:created xsi:type="dcterms:W3CDTF">2026-03-15T11:52:00Z</dcterms:created>
  <dcterms:modified xsi:type="dcterms:W3CDTF">2026-03-15T11:53:00Z</dcterms:modified>
</cp:coreProperties>
</file>