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4976" w:rsidRPr="00F84976" w:rsidRDefault="00F84976" w:rsidP="00F8497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праві</w:t>
      </w:r>
      <w:proofErr w:type="spellEnd"/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r w:rsidRPr="00F8497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МПП: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відносинах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елементом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Відносини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наявністю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елемента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одному з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компонентів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правовідносин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суб’єкті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об’єкті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юридичному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факті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сучасному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проявляється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українськими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нерухомістю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кордоном,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придбання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іноземними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інвесторами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акцій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лізинг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складного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відносин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базується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принципі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визнання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речових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набутих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кордоном,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забезпеченні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стабільності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обігу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як і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більшість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держав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 того,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законно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виникле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визнаватися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права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різняться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>.</w:t>
      </w: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Фундаментальним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принципом для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суб’єктів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режиму.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фізичні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юридичні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практично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такий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володіння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українські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суб’єкти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режим не є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абсолютним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низку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винятків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зумовлених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національною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безпекою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соціально-економічними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інтересами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Найвідомішим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обмеженням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є заборона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іноземцям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компаніям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набувати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законодавство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гарантує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непорушність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примусове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відчуження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іноземців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допускається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виняток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F84976">
        <w:rPr>
          <w:rFonts w:ascii="Times New Roman" w:hAnsi="Times New Roman" w:cs="Times New Roman"/>
          <w:sz w:val="28"/>
          <w:szCs w:val="28"/>
        </w:rPr>
        <w:t>в порядку</w:t>
      </w:r>
      <w:proofErr w:type="gram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законом, і за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повного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відшкодування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необхідний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клімат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співробітництва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>.</w:t>
      </w: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r w:rsidRPr="00F84976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законодавства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націоналізацію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компенсаційні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націоналізації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є одним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дискусійних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приватного права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Націоналізація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перехід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майна з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приватної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lastRenderedPageBreak/>
        <w:t>законодавчих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контексті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МПП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 держава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націоналізувати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суб'єктів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і як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сприйматися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світовою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спільнотою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4976">
        <w:rPr>
          <w:rFonts w:ascii="Times New Roman" w:hAnsi="Times New Roman" w:cs="Times New Roman"/>
          <w:sz w:val="28"/>
          <w:szCs w:val="28"/>
        </w:rPr>
        <w:t>до принципу</w:t>
      </w:r>
      <w:proofErr w:type="gramEnd"/>
      <w:r w:rsidRPr="00F84976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суверенітету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держава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безумовне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визначати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економічну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систему,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націоналізацію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будь-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майна в межах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юрисдикції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>.</w:t>
      </w: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спільнота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виробила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націоналізація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визнається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правомірною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По-перше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вона повинна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суспільних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інтересах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а не з метою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покарання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конкретної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особи. </w:t>
      </w:r>
      <w:proofErr w:type="spellStart"/>
      <w:proofErr w:type="gramStart"/>
      <w:r w:rsidRPr="00F84976">
        <w:rPr>
          <w:rFonts w:ascii="Times New Roman" w:hAnsi="Times New Roman" w:cs="Times New Roman"/>
          <w:sz w:val="28"/>
          <w:szCs w:val="28"/>
        </w:rPr>
        <w:t>По-друге</w:t>
      </w:r>
      <w:proofErr w:type="spellEnd"/>
      <w:proofErr w:type="gramEnd"/>
      <w:r w:rsidRPr="00F84976">
        <w:rPr>
          <w:rFonts w:ascii="Times New Roman" w:hAnsi="Times New Roman" w:cs="Times New Roman"/>
          <w:sz w:val="28"/>
          <w:szCs w:val="28"/>
        </w:rPr>
        <w:t xml:space="preserve">, вона не повинна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дискримінаційного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характеру,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спрямована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По-третє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найголовніше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націоналізація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супроводжується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обов'язком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виплатити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компенсацію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«формула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Халла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», яка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компенсація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бути «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швидкою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адекватною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ефективною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відбутися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затримок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конвертованій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валюті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ринковій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вартості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майна.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як держава,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прагне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правовий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простір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визнає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стандарти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двосторонніх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договорах про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взаємний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де детально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прописані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арбітражного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націоналізації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>.</w:t>
      </w: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r w:rsidRPr="00F8497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Колізійні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панування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rei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sitae</w:t>
      </w:r>
      <w:proofErr w:type="spellEnd"/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Колізійне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речових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міжнародному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приватному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зосереджене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VI Закону «Про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приватне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право». Центральною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колізійною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прив'язкою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домінує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є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rei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sitae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4976">
        <w:rPr>
          <w:rFonts w:ascii="Times New Roman" w:hAnsi="Times New Roman" w:cs="Times New Roman"/>
          <w:sz w:val="28"/>
          <w:szCs w:val="28"/>
        </w:rPr>
        <w:t xml:space="preserve"> закон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принцип є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логічним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стабільним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оскільки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держава,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тісний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реальне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38 Закону, право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речові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передбачено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законом.</w:t>
      </w: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норма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конкретизується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майна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нерухомого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майна,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прив'язка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виключною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абсолютною.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суд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lastRenderedPageBreak/>
        <w:t>розглядає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справу про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спадкування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поділ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подружжя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речових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будинок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вирішуватися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українським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правом. Для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рухомого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ситуація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гнучкою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припинення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знаходилося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момент, коли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юридичний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факт,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став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для таких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Особливий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інтерес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регулювання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«майна,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res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transitu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статтею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41 Закону, право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рухоме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договором,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перебуває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відправлене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інше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встановлено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згодою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Окремо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регулюються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транспортні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(судна,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літаки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): право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них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правом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(закон прапора),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уникнути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постійної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правового режиму при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перетині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кордонів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>.</w:t>
      </w: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r w:rsidRPr="00F8497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Правове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кордоном</w:t>
      </w: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блок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статусу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майна поза межами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кордоном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поділяється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дві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категорії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як суверена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приватних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Державна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посольств, консульств,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архіви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особливим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захистом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державним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імунітетом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держава не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згоди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накласти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арешт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примусово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вилучити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частіше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застосовується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концепція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обмеженого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якою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суто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цілях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торговельний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флот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рахунки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комерційних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стати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об’єктом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претензій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кордоном.</w:t>
      </w: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кордоном, то вона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підпорядковується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правовому режиму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майна (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знову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ж таки, за принципом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rei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sitae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Проте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як держава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захищає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компаній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через систему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договорів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договори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гарантують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українському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 кордоном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незаконної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експропріації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право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репатріацію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прибутків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правосуб’єктність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компанії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володіти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майном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правом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r w:rsidRPr="00F84976">
        <w:rPr>
          <w:rFonts w:ascii="Times New Roman" w:hAnsi="Times New Roman" w:cs="Times New Roman"/>
          <w:sz w:val="28"/>
          <w:szCs w:val="28"/>
        </w:rPr>
        <w:lastRenderedPageBreak/>
        <w:t xml:space="preserve">законом, але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офіс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Варшаві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завод 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Берліні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регулюватися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польським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німецьким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розмежування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баланс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особистим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статусом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стабільністю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територіального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правопорядку, де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власність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>.</w:t>
      </w: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4976" w:rsidRPr="00F84976" w:rsidRDefault="00F84976" w:rsidP="00F8497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Підбиваючи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підсумки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зазначимо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в МПП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побудований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поєднанні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традиційного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принципу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територіальності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речі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) з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механізмами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іноземних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поваги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міжнародного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імунітету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4976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84976">
        <w:rPr>
          <w:rFonts w:ascii="Times New Roman" w:hAnsi="Times New Roman" w:cs="Times New Roman"/>
          <w:sz w:val="28"/>
          <w:szCs w:val="28"/>
        </w:rPr>
        <w:t>.</w:t>
      </w:r>
    </w:p>
    <w:sectPr w:rsidR="00F84976" w:rsidRPr="00F84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76"/>
    <w:rsid w:val="00F8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6C01D"/>
  <w15:chartTrackingRefBased/>
  <w15:docId w15:val="{B0B1FE4C-C8F5-492E-8A10-AD437798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Max</dc:creator>
  <cp:keywords/>
  <dc:description/>
  <cp:lastModifiedBy>Max Max</cp:lastModifiedBy>
  <cp:revision>1</cp:revision>
  <dcterms:created xsi:type="dcterms:W3CDTF">2026-03-15T12:07:00Z</dcterms:created>
  <dcterms:modified xsi:type="dcterms:W3CDTF">2026-03-15T12:08:00Z</dcterms:modified>
</cp:coreProperties>
</file>