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061F" w:rsidRDefault="0008061F" w:rsidP="0008061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сімейне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право: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bookmarkStart w:id="0" w:name="_GoBack"/>
      <w:bookmarkEnd w:id="0"/>
      <w:proofErr w:type="spellStart"/>
      <w:r w:rsidRPr="0008061F">
        <w:rPr>
          <w:rFonts w:ascii="Times New Roman" w:hAnsi="Times New Roman" w:cs="Times New Roman"/>
          <w:sz w:val="28"/>
          <w:szCs w:val="28"/>
        </w:rPr>
        <w:t>олізійно-правові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матеріальні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</w:p>
    <w:p w:rsidR="0008061F" w:rsidRPr="0008061F" w:rsidRDefault="0008061F" w:rsidP="000806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061F" w:rsidRPr="0008061F" w:rsidRDefault="0008061F" w:rsidP="0008061F">
      <w:pPr>
        <w:jc w:val="both"/>
        <w:rPr>
          <w:rFonts w:ascii="Times New Roman" w:hAnsi="Times New Roman" w:cs="Times New Roman"/>
          <w:sz w:val="28"/>
          <w:szCs w:val="28"/>
        </w:rPr>
      </w:pPr>
      <w:r w:rsidRPr="0008061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Концептуальні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засади та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міжнародно-правове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сімейних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</w:p>
    <w:p w:rsidR="0008061F" w:rsidRPr="0008061F" w:rsidRDefault="0008061F" w:rsidP="0008061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Сімейне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право в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приватного права (МПП)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займає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особливе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через свою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глибоку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вкоріненість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національні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етичні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релігійні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культурні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пласти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відміну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торгового права, де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панує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уніфікація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сімейне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роздробленим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сегментом.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угоди у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не на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світового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сімейного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кодексу», а на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гармонізацію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колізійних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норм та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транскордонного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>.</w:t>
      </w:r>
    </w:p>
    <w:p w:rsidR="0008061F" w:rsidRPr="0008061F" w:rsidRDefault="0008061F" w:rsidP="000806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61F" w:rsidRPr="0008061F" w:rsidRDefault="0008061F" w:rsidP="0008061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джерелом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уніфікації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Гаазька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конференція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приватного права.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Конвенцію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цивільно-правові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викрадення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1980 року, яка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негайного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неправомірного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вивезення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одним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Гаазька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конвенція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1996 року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батьківської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юрисдикцію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та право,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критичне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Мінська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конвенція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1993 року (у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відносинах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країнами-учасницями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), яка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спрощує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сімейний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стан без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додаткової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легалізації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лежить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доктрина «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найкращих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best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interests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child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), яка є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імперативом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переважає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над будь-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формальними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правовими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перешкодами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>.</w:t>
      </w:r>
    </w:p>
    <w:p w:rsidR="0008061F" w:rsidRPr="0008061F" w:rsidRDefault="0008061F" w:rsidP="000806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61F" w:rsidRPr="0008061F" w:rsidRDefault="0008061F" w:rsidP="0008061F">
      <w:pPr>
        <w:jc w:val="both"/>
        <w:rPr>
          <w:rFonts w:ascii="Times New Roman" w:hAnsi="Times New Roman" w:cs="Times New Roman"/>
          <w:sz w:val="28"/>
          <w:szCs w:val="28"/>
        </w:rPr>
      </w:pPr>
      <w:r w:rsidRPr="0008061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шлюбу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Матеріальні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формальні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транскордонному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</w:p>
    <w:p w:rsidR="0008061F" w:rsidRPr="0008061F" w:rsidRDefault="0008061F" w:rsidP="0008061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Шлюб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у МПП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складний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юридичний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склад, де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взаємодіють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правопорядків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укладенні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шлюбу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іноземцем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законодавець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розмежовує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матеріальні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формальні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Матеріальні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самої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правоздатності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особи на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вступ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шлюб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56 Закону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«Про МПП»,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кожного з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наречених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особистий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закон (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personalis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іноземець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бажає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одружитися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перешкод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попередній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шлюб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родинні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зв'язки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lastRenderedPageBreak/>
        <w:t>законодавством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суддя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реєстратор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обов'язково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перевіряє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через призму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застереження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публічний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порядок: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особистий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іноземця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полігамію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шлюб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не буде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зареєстрований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прямо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суперечить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конституційним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засадам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моногамії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>.</w:t>
      </w:r>
    </w:p>
    <w:p w:rsidR="0008061F" w:rsidRPr="0008061F" w:rsidRDefault="0008061F" w:rsidP="000806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61F" w:rsidRPr="0008061F" w:rsidRDefault="0008061F" w:rsidP="0008061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Формальні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шлюбу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(процедура,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орган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регулюються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принципом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loci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celebrationis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8061F">
        <w:rPr>
          <w:rFonts w:ascii="Times New Roman" w:hAnsi="Times New Roman" w:cs="Times New Roman"/>
          <w:sz w:val="28"/>
          <w:szCs w:val="28"/>
        </w:rPr>
        <w:t xml:space="preserve"> правом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шлюбу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(ст. 55 Закону).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українці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укладають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шлюб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Франції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вони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дотриматися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французької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процедури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обов'язкової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цивільної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церемонії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мерії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шлюб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укладається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консульстві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за кордоном,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підкреслити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визнає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шлюби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укладені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за кордоном,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місцевому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праву та не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порушують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імперативних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заборон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сімейного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спорідненості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статі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наречених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>.</w:t>
      </w:r>
    </w:p>
    <w:p w:rsidR="0008061F" w:rsidRPr="0008061F" w:rsidRDefault="0008061F" w:rsidP="000806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61F" w:rsidRPr="0008061F" w:rsidRDefault="0008061F" w:rsidP="0008061F">
      <w:pPr>
        <w:jc w:val="both"/>
        <w:rPr>
          <w:rFonts w:ascii="Times New Roman" w:hAnsi="Times New Roman" w:cs="Times New Roman"/>
          <w:sz w:val="28"/>
          <w:szCs w:val="28"/>
        </w:rPr>
      </w:pPr>
      <w:r w:rsidRPr="0008061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подружжя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Особистий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майновий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статут</w:t>
      </w:r>
    </w:p>
    <w:p w:rsidR="0008061F" w:rsidRPr="0008061F" w:rsidRDefault="0008061F" w:rsidP="0008061F">
      <w:pPr>
        <w:jc w:val="both"/>
        <w:rPr>
          <w:rFonts w:ascii="Times New Roman" w:hAnsi="Times New Roman" w:cs="Times New Roman"/>
          <w:sz w:val="28"/>
          <w:szCs w:val="28"/>
        </w:rPr>
      </w:pPr>
      <w:r w:rsidRPr="0008061F">
        <w:rPr>
          <w:rFonts w:ascii="Times New Roman" w:hAnsi="Times New Roman" w:cs="Times New Roman"/>
          <w:sz w:val="28"/>
          <w:szCs w:val="28"/>
        </w:rPr>
        <w:t xml:space="preserve">Коли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подружжя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різне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громадянство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проживає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за межами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батьківщини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потреба у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визначенні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«права,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керує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шлюбом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58 Закону про МПП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встановлює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каскадну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колізійних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прив’язок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особистих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немайнових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майнових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прав. Першим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пріоритетом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спільний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особистий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закон (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обоє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громадяни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Польщі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Польщі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громадянство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різне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подружжя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спільне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такого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8061F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обоє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найтісніший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зв'язок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>.</w:t>
      </w:r>
    </w:p>
    <w:p w:rsidR="0008061F" w:rsidRPr="0008061F" w:rsidRDefault="0008061F" w:rsidP="000806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61F" w:rsidRPr="0008061F" w:rsidRDefault="0008061F" w:rsidP="0008061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Особливу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приділено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майновим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відносинам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шлюбним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договорам. У МПП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подружжя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наділене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правом «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автономії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волі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» (ст. 59 Закону): вони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обрати право, яке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регулюватиме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їхній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шлюбний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особистий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закон одного з них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уникнути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невизначеності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поділі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розташованих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юрисдикціях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нерухомість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Іспанії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рахунки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Швейцарії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). Без такого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режим майна (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спільна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сумісна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роздільна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визначатиметься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автоматично за законом,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регулює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шлюбу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неприємним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сюрпризом для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розлучення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>.</w:t>
      </w:r>
    </w:p>
    <w:p w:rsidR="0008061F" w:rsidRPr="0008061F" w:rsidRDefault="0008061F" w:rsidP="000806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61F" w:rsidRPr="0008061F" w:rsidRDefault="0008061F" w:rsidP="0008061F">
      <w:pPr>
        <w:jc w:val="both"/>
        <w:rPr>
          <w:rFonts w:ascii="Times New Roman" w:hAnsi="Times New Roman" w:cs="Times New Roman"/>
          <w:sz w:val="28"/>
          <w:szCs w:val="28"/>
        </w:rPr>
      </w:pPr>
      <w:r w:rsidRPr="0008061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: Баланс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юрисдикцій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аліментні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зобов'язання</w:t>
      </w:r>
      <w:proofErr w:type="spellEnd"/>
    </w:p>
    <w:p w:rsidR="0008061F" w:rsidRPr="0008061F" w:rsidRDefault="0008061F" w:rsidP="0008061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Правовідносини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батьками і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у МПП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регулюються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правом, яке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стабільний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статус.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оспорювання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батьківства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особистим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на момент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прав та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обов'язків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то тут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домінує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спільного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а за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особистий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>.</w:t>
      </w:r>
    </w:p>
    <w:p w:rsidR="0008061F" w:rsidRPr="0008061F" w:rsidRDefault="0008061F" w:rsidP="000806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61F" w:rsidRPr="0008061F" w:rsidRDefault="0008061F" w:rsidP="0008061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аліментних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зобов’язань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виділено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окрему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категорію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їхню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життєву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важливість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учасницею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Конвенції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аліментів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2007 року, яка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встановлює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спрощений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судових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проживають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8061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Німеччині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суд при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визначенні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аліментів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застосувати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несе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юстиції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стягувати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примусово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за кордоном без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повторного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іноземним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судом по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суті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>.</w:t>
      </w:r>
    </w:p>
    <w:p w:rsidR="0008061F" w:rsidRPr="0008061F" w:rsidRDefault="0008061F" w:rsidP="000806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61F" w:rsidRPr="0008061F" w:rsidRDefault="0008061F" w:rsidP="0008061F">
      <w:pPr>
        <w:jc w:val="both"/>
        <w:rPr>
          <w:rFonts w:ascii="Times New Roman" w:hAnsi="Times New Roman" w:cs="Times New Roman"/>
          <w:sz w:val="28"/>
          <w:szCs w:val="28"/>
        </w:rPr>
      </w:pPr>
      <w:r w:rsidRPr="0008061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шлюбу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усиновлення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в МПП</w:t>
      </w:r>
    </w:p>
    <w:p w:rsidR="0008061F" w:rsidRPr="0008061F" w:rsidRDefault="0008061F" w:rsidP="0008061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шлюбу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розлучення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) у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полі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стикається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з проблемою «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кульгаючих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розлучень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63 Закону про МПП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шлюбу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регулюється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правом, яке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шлюбу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на момент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розірвання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Громадяни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проживають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за кордоном,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унікальну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розірвати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шлюб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судах,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подружжя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іноземцем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полегшує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процедуру,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іноземне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право є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занадто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консервативним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багаторічної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сепарації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>).</w:t>
      </w:r>
    </w:p>
    <w:p w:rsidR="0008061F" w:rsidRPr="0008061F" w:rsidRDefault="0008061F" w:rsidP="000806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61F" w:rsidRPr="0008061F" w:rsidRDefault="0008061F" w:rsidP="0008061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Усиновлення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адопція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іноземцями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контрольованою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сферою.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69 Закону, при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усиновленні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дитини-українця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іноземцями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але з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обов'язковим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усиновлювача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обов'язкової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центрального органу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Мінсоцполітики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). Головна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вимога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усиновлена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іноземцем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вичерпані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lastRenderedPageBreak/>
        <w:t>влаштування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українську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сім'ю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усиновлення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держава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консульські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установи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продовжує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нагляд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умовами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повноліття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специфічною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рисою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протекціонізму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>.</w:t>
      </w:r>
    </w:p>
    <w:p w:rsidR="0008061F" w:rsidRPr="0008061F" w:rsidRDefault="0008061F" w:rsidP="000806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61F" w:rsidRPr="0008061F" w:rsidRDefault="0008061F" w:rsidP="0008061F">
      <w:pPr>
        <w:jc w:val="both"/>
        <w:rPr>
          <w:rFonts w:ascii="Times New Roman" w:hAnsi="Times New Roman" w:cs="Times New Roman"/>
          <w:sz w:val="28"/>
          <w:szCs w:val="28"/>
        </w:rPr>
      </w:pPr>
      <w:r w:rsidRPr="0008061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Опіка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застереження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публічний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порядок</w:t>
      </w:r>
    </w:p>
    <w:p w:rsidR="0008061F" w:rsidRPr="0008061F" w:rsidRDefault="0008061F" w:rsidP="0008061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Опіка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неповнолітніми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недієздатними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особами в МПП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встановлюються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їхнім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особистим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законом.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застосовує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Гаазьку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конвенцію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1996 року, яка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органам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фактичного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вживати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термінових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колізійною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нормою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компетентним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є право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критично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біженства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стихійного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лиха.</w:t>
      </w:r>
    </w:p>
    <w:p w:rsidR="0008061F" w:rsidRPr="0008061F" w:rsidRDefault="0008061F" w:rsidP="000806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61F" w:rsidRPr="0008061F" w:rsidRDefault="0008061F" w:rsidP="0008061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Колізійне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законодавство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Розділ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IX Закону «Про МПП») у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сімейній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зразком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гуманістичного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відмовляється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жорсткого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територіалізму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користь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гнучких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прив’язок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>, таких як «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спільне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найтісніший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зв'язок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ключовим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обмежувачем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застереження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публічний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порядок.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визнає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іноземні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сімейні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легалізують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дитячі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шлюби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рабство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інститути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принижують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гідність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особи,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вони є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законними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суб'єкта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. Таким чином, МПП у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сімейній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балансує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відкритістю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іноземних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правопорядків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захистом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базових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конституційних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>.</w:t>
      </w:r>
    </w:p>
    <w:p w:rsidR="0008061F" w:rsidRPr="0008061F" w:rsidRDefault="0008061F" w:rsidP="000806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61F" w:rsidRPr="0008061F" w:rsidRDefault="0008061F" w:rsidP="0008061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лекції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сімейного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юристу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того, як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захистити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приватне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перетину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кордонів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8061F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08061F">
        <w:rPr>
          <w:rFonts w:ascii="Times New Roman" w:hAnsi="Times New Roman" w:cs="Times New Roman"/>
          <w:sz w:val="28"/>
          <w:szCs w:val="28"/>
        </w:rPr>
        <w:t xml:space="preserve"> систем.</w:t>
      </w:r>
    </w:p>
    <w:sectPr w:rsidR="0008061F" w:rsidRPr="000806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1F"/>
    <w:rsid w:val="0008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1A14"/>
  <w15:chartTrackingRefBased/>
  <w15:docId w15:val="{6AB1B73A-C0E0-427F-BACE-D4AC411C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1178</Words>
  <Characters>6717</Characters>
  <Application>Microsoft Office Word</Application>
  <DocSecurity>0</DocSecurity>
  <Lines>55</Lines>
  <Paragraphs>15</Paragraphs>
  <ScaleCrop>false</ScaleCrop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Max</dc:creator>
  <cp:keywords/>
  <dc:description/>
  <cp:lastModifiedBy>Max Max</cp:lastModifiedBy>
  <cp:revision>1</cp:revision>
  <dcterms:created xsi:type="dcterms:W3CDTF">2026-03-15T12:14:00Z</dcterms:created>
  <dcterms:modified xsi:type="dcterms:W3CDTF">2026-03-15T12:15:00Z</dcterms:modified>
</cp:coreProperties>
</file>