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197D" w:rsidRDefault="0039197D" w:rsidP="003919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праві</w:t>
      </w:r>
      <w:proofErr w:type="spellEnd"/>
    </w:p>
    <w:p w:rsidR="0039197D" w:rsidRPr="0039197D" w:rsidRDefault="0039197D" w:rsidP="003919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спадкових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МПП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(МПП)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померлої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особи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проявлятися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формах: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проживав за кордоном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іноземцем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іноземцями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gramStart"/>
      <w:r w:rsidRPr="0039197D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вілла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Іспанії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факт: Смерть настала за кордоном.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Головною проблемою МПП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систем: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моністичної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), де вся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дуалістичної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розщеплення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), де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нерухомість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підпорядковується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sitae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рухоме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особистому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закону особи.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змішаного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закріпленого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ст. 70-72 Закону «Про МПП».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угоди і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</w:t>
      </w:r>
      <w:proofErr w:type="spellEnd"/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та систему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уніфікацію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процедур.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lastRenderedPageBreak/>
        <w:t>Україна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X Закону «Про МПП» (ст. 70–72).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принцип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Зарубіжні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велике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. У США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Великій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доміцилій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угоди: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Вашингтонська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1973 року про форму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визнаватися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країнами-учасницями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Гаазька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колізію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заповідальних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1961 року: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учасницею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. Вона максимально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спрощує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дійсним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б одному правопорядку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Мінська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1993 року (СНД)</w:t>
      </w:r>
      <w:proofErr w:type="gramStart"/>
      <w:r w:rsidRPr="0039197D">
        <w:rPr>
          <w:rFonts w:ascii="Times New Roman" w:hAnsi="Times New Roman" w:cs="Times New Roman"/>
          <w:sz w:val="28"/>
          <w:szCs w:val="28"/>
        </w:rPr>
        <w:t>: Детально</w:t>
      </w:r>
      <w:proofErr w:type="gram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спадкових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справах,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пересилання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спадкового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консулів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>Регламент ЄС № 650/2012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Succession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Regulation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Революційний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акт для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запровадив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Європейське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» та принцип, за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особа не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обрала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197D">
        <w:rPr>
          <w:rFonts w:ascii="Times New Roman" w:hAnsi="Times New Roman" w:cs="Times New Roman"/>
          <w:sz w:val="28"/>
          <w:szCs w:val="28"/>
        </w:rPr>
        <w:t>за</w:t>
      </w:r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заповітом</w:t>
      </w:r>
      <w:proofErr w:type="spellEnd"/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 (Testamentary Succession)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волевиявлення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. У МПП до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висуваються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Тестаментоспроможність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lastRenderedPageBreak/>
        <w:t>Згідно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ст. 72 Закону про МПП,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вона мала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момент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Приклад: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проживаючи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оцінюватися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Б. Форма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принцип «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сприятливості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favor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testamenti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дійсним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праву: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посвідчений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капітаном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судна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нотаріусом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Права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Права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197D">
        <w:rPr>
          <w:rFonts w:ascii="Times New Roman" w:hAnsi="Times New Roman" w:cs="Times New Roman"/>
          <w:sz w:val="28"/>
          <w:szCs w:val="28"/>
        </w:rPr>
        <w:t>за</w:t>
      </w:r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197D">
        <w:rPr>
          <w:rFonts w:ascii="Times New Roman" w:hAnsi="Times New Roman" w:cs="Times New Roman"/>
          <w:sz w:val="28"/>
          <w:szCs w:val="28"/>
        </w:rPr>
        <w:t>законом</w:t>
      </w:r>
      <w:r w:rsidRPr="0039197D">
        <w:rPr>
          <w:rFonts w:ascii="Times New Roman" w:hAnsi="Times New Roman" w:cs="Times New Roman"/>
          <w:sz w:val="28"/>
          <w:szCs w:val="28"/>
          <w:lang w:val="en-US"/>
        </w:rPr>
        <w:t xml:space="preserve"> (Intestate Succession)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законом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визнаний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недійсним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колізій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черговості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прив'язки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(ст. 70 Закону про МПП):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авто,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земля):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lastRenderedPageBreak/>
        <w:t>Відмінності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системах: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мусульманському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удвічі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права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Англія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обов'язкової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континентальній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заброньований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батька.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Відумерла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спадкоємців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рухоме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переходить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де проживав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спадкового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і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боргами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переходу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різниться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світовій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>Романо-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германська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система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): Принцип «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універсального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правонаступництва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Спадкоємець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власником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з моменту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r w:rsidRPr="0039197D">
        <w:rPr>
          <w:rFonts w:ascii="Times New Roman" w:hAnsi="Times New Roman" w:cs="Times New Roman"/>
          <w:sz w:val="28"/>
          <w:szCs w:val="28"/>
        </w:rPr>
        <w:t>Англо-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система: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переходить до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особи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адміністратора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виконавця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executor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сплачує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та борги, і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залишок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спадкоємцям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боргами: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до ст. 70 Закону про МПП,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боргами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спадкодавця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самим правом, яке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до самого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(за законом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заповітом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).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lastRenderedPageBreak/>
        <w:t>Тобто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то і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спадкоємця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іпотеку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визначатися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за ЦК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(в межах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майна).</w:t>
      </w: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:rsidR="0039197D" w:rsidRPr="0039197D" w:rsidRDefault="0039197D" w:rsidP="003919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юриста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вітчизняного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права, а й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прив'язки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майна 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рухоме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). Головною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порадою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транскордонними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активами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заповіту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стандартам, для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«правового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розщеплення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» майна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97D">
        <w:rPr>
          <w:rFonts w:ascii="Times New Roman" w:hAnsi="Times New Roman" w:cs="Times New Roman"/>
          <w:sz w:val="28"/>
          <w:szCs w:val="28"/>
        </w:rPr>
        <w:t>юрисдикціями</w:t>
      </w:r>
      <w:proofErr w:type="spellEnd"/>
      <w:r w:rsidRPr="0039197D">
        <w:rPr>
          <w:rFonts w:ascii="Times New Roman" w:hAnsi="Times New Roman" w:cs="Times New Roman"/>
          <w:sz w:val="28"/>
          <w:szCs w:val="28"/>
        </w:rPr>
        <w:t>.</w:t>
      </w:r>
    </w:p>
    <w:sectPr w:rsidR="0039197D" w:rsidRPr="00391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7D"/>
    <w:rsid w:val="0039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C6B9"/>
  <w15:chartTrackingRefBased/>
  <w15:docId w15:val="{80FCDD5B-1A75-469E-9EDF-E9C4CB88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2026-03-15T12:17:00Z</dcterms:created>
  <dcterms:modified xsi:type="dcterms:W3CDTF">2026-03-15T12:18:00Z</dcterms:modified>
</cp:coreProperties>
</file>