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Критерії оцінювання та система накопичення балів</w:t>
      </w:r>
    </w:p>
    <w:p>
      <w:r>
        <w:t>Контроль рівня знань студентів щодо засвоєння ними тем з дисципліни «Організація волонтерського руху» включає поточний контроль, оцінювання практичних завдань, індивідуальне завдання та підсумковий контроль.</w:t>
      </w:r>
    </w:p>
    <w:p>
      <w:pPr>
        <w:pStyle w:val="Heading2"/>
      </w:pPr>
      <w:r>
        <w:t>Поточний контроль</w:t>
      </w:r>
    </w:p>
    <w:p>
      <w:r>
        <w:t>Поточний контроль здійснюється під час проведення семінарських занять і має на меті перевірку рівня підготовленості студента до виконання конкретних навчальних завдань.</w:t>
      </w:r>
    </w:p>
    <w:p>
      <w:pPr>
        <w:pStyle w:val="Heading3"/>
      </w:pPr>
      <w:r>
        <w:t>Оцінювання роботи на семінарських заняттях</w:t>
      </w:r>
    </w:p>
    <w:p>
      <w:r>
        <w:t>3 бали – чітка, повна та змістовна відповідь на питання, використання теоретичних джерел, висока аргументованість відповіді, переконливе демонстрування власної позиції.</w:t>
      </w:r>
    </w:p>
    <w:p>
      <w:r>
        <w:t>2 бали – повна відповідь на питання з використанням теоретичних положень, але без чітко сформульованої авторської позиції.</w:t>
      </w:r>
    </w:p>
    <w:p>
      <w:r>
        <w:t>1 бал – змістовне доповнення або часткове розкриття питання.</w:t>
      </w:r>
    </w:p>
    <w:p>
      <w:r>
        <w:t>0 балів – відсутність відповіді.</w:t>
      </w:r>
    </w:p>
    <w:p>
      <w:pPr>
        <w:pStyle w:val="Heading2"/>
      </w:pPr>
      <w:r>
        <w:t>Оцінювання практичних завдань</w:t>
      </w:r>
    </w:p>
    <w:p>
      <w:r>
        <w:t>Практичні завдання виконуються у формі презентацій, аналітичних робіт, розробки проєктів, програм або інших індивідуальних чи групових завдань.</w:t>
      </w:r>
    </w:p>
    <w:p>
      <w:r>
        <w:t>Обов’язковою умовою отримання максимальної кількості балів є публічна презентація виконаного завдання під час семінарського заняття.</w:t>
      </w:r>
    </w:p>
    <w:p>
      <w:pPr>
        <w:pStyle w:val="Heading3"/>
      </w:pPr>
      <w:r>
        <w:t>Критерії оцінювання практичних завдань</w:t>
      </w:r>
    </w:p>
    <w:p>
      <w:r>
        <w:t>3 бали – завдання виконано повністю, матеріал викладено логічно та аргументовано, використано реальні приклади або джерела, робота має чітку структуру, студент здійснив публічну презентацію результатів на занятті та відповів на запитання.</w:t>
      </w:r>
    </w:p>
    <w:p>
      <w:r>
        <w:t>2 бали – завдання виконано, але матеріал подано частково або недостатньо аргументовано, або презентація виконана без достатнього аналізу.</w:t>
      </w:r>
    </w:p>
    <w:p>
      <w:r>
        <w:t>1 бал – завдання виконано поверхово, відсутній аналіз або структура роботи.</w:t>
      </w:r>
    </w:p>
    <w:p>
      <w:r>
        <w:t>0 балів – завдання не виконано або не представлено.</w:t>
      </w:r>
    </w:p>
    <w:p>
      <w:pPr>
        <w:pStyle w:val="Heading2"/>
      </w:pPr>
      <w:r>
        <w:t>Індивідуальне завдання</w:t>
      </w:r>
    </w:p>
    <w:p>
      <w:r>
        <w:t>Індивідуальне завдання передбачає написання есе на тему «Волонтерство в моєму житті: аналіз всіх “за” та “проти”» та підготовку публічного виступу на основі цього есе.</w:t>
      </w:r>
    </w:p>
    <w:p>
      <w:r>
        <w:t>Максимальний бал за індивідуальне завдання студент отримує лише за умови публічного виступу та презентації основних положень есе під час заняття.</w:t>
      </w:r>
    </w:p>
    <w:p>
      <w:pPr>
        <w:pStyle w:val="Heading3"/>
      </w:pPr>
      <w:r>
        <w:t>Критерії оцінювання індивідуального завдання</w:t>
      </w:r>
    </w:p>
    <w:p>
      <w:r>
        <w:t>10 балів – есе містить глибокий аналіз теми, аргументовану авторську позицію, логічну структуру; студент здійснив публічний виступ, чітко представив основні тези та відповів на запитання.</w:t>
      </w:r>
    </w:p>
    <w:p>
      <w:r>
        <w:t>7–9 балів – тема розкрита, але аналіз або аргументація подані не повністю.</w:t>
      </w:r>
    </w:p>
    <w:p>
      <w:r>
        <w:t>4–6 балів – поверховий виклад матеріалу, недостатня аргументованість.</w:t>
      </w:r>
    </w:p>
    <w:p>
      <w:r>
        <w:t>1–3 бали – фрагментарний виклад матеріалу.</w:t>
      </w:r>
    </w:p>
    <w:p>
      <w:r>
        <w:t>0 балів – робота не виконана або не представлена.</w:t>
      </w:r>
    </w:p>
    <w:p>
      <w:pPr>
        <w:pStyle w:val="Heading2"/>
      </w:pPr>
      <w:r>
        <w:t>Розподіл балів, які отримують студенти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Вид роботи</w:t>
            </w:r>
          </w:p>
        </w:tc>
        <w:tc>
          <w:tcPr>
            <w:tcW w:type="dxa" w:w="4320"/>
          </w:tcPr>
          <w:p>
            <w:r>
              <w:t>Кількість балів</w:t>
            </w:r>
          </w:p>
        </w:tc>
      </w:tr>
      <w:tr>
        <w:tc>
          <w:tcPr>
            <w:tcW w:type="dxa" w:w="4320"/>
          </w:tcPr>
          <w:p>
            <w:r>
              <w:t>Поточна робота на семінарських заняттях та практичні завдання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Тести підсумкового контролю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Індивідуальне завдання (есе та публічний виступ)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Екзамен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Разом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p>
      <w:pPr>
        <w:pStyle w:val="Heading2"/>
      </w:pPr>
      <w:r>
        <w:t>Шкала оцінювання: національна та ECTS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За шкалою ECTS</w:t>
            </w:r>
          </w:p>
        </w:tc>
        <w:tc>
          <w:tcPr>
            <w:tcW w:type="dxa" w:w="2880"/>
          </w:tcPr>
          <w:p>
            <w:r>
              <w:t>За шкалою університету</w:t>
            </w:r>
          </w:p>
        </w:tc>
        <w:tc>
          <w:tcPr>
            <w:tcW w:type="dxa" w:w="2880"/>
          </w:tcPr>
          <w:p>
            <w:r>
              <w:t>За національною шкалою</w:t>
            </w:r>
          </w:p>
        </w:tc>
      </w:tr>
      <w:tr>
        <w:tc>
          <w:tcPr>
            <w:tcW w:type="dxa" w:w="2880"/>
          </w:tcPr>
          <w:p>
            <w:r>
              <w:t>A</w:t>
            </w:r>
          </w:p>
        </w:tc>
        <w:tc>
          <w:tcPr>
            <w:tcW w:type="dxa" w:w="2880"/>
          </w:tcPr>
          <w:p>
            <w:r>
              <w:t>90–100</w:t>
            </w:r>
          </w:p>
        </w:tc>
        <w:tc>
          <w:tcPr>
            <w:tcW w:type="dxa" w:w="2880"/>
          </w:tcPr>
          <w:p>
            <w:r>
              <w:t>відмінно</w:t>
            </w:r>
          </w:p>
        </w:tc>
      </w:tr>
      <w:tr>
        <w:tc>
          <w:tcPr>
            <w:tcW w:type="dxa" w:w="2880"/>
          </w:tcPr>
          <w:p>
            <w:r>
              <w:t>B</w:t>
            </w:r>
          </w:p>
        </w:tc>
        <w:tc>
          <w:tcPr>
            <w:tcW w:type="dxa" w:w="2880"/>
          </w:tcPr>
          <w:p>
            <w:r>
              <w:t>85–89</w:t>
            </w:r>
          </w:p>
        </w:tc>
        <w:tc>
          <w:tcPr>
            <w:tcW w:type="dxa" w:w="2880"/>
          </w:tcPr>
          <w:p>
            <w:r>
              <w:t>добре</w:t>
            </w:r>
          </w:p>
        </w:tc>
      </w:tr>
      <w:tr>
        <w:tc>
          <w:tcPr>
            <w:tcW w:type="dxa" w:w="2880"/>
          </w:tcPr>
          <w:p>
            <w:r>
              <w:t>C</w:t>
            </w:r>
          </w:p>
        </w:tc>
        <w:tc>
          <w:tcPr>
            <w:tcW w:type="dxa" w:w="2880"/>
          </w:tcPr>
          <w:p>
            <w:r>
              <w:t>75–84</w:t>
            </w:r>
          </w:p>
        </w:tc>
        <w:tc>
          <w:tcPr>
            <w:tcW w:type="dxa" w:w="2880"/>
          </w:tcPr>
          <w:p>
            <w:r>
              <w:t>добре</w:t>
            </w:r>
          </w:p>
        </w:tc>
      </w:tr>
      <w:tr>
        <w:tc>
          <w:tcPr>
            <w:tcW w:type="dxa" w:w="2880"/>
          </w:tcPr>
          <w:p>
            <w:r>
              <w:t>D</w:t>
            </w:r>
          </w:p>
        </w:tc>
        <w:tc>
          <w:tcPr>
            <w:tcW w:type="dxa" w:w="2880"/>
          </w:tcPr>
          <w:p>
            <w:r>
              <w:t>70–74</w:t>
            </w:r>
          </w:p>
        </w:tc>
        <w:tc>
          <w:tcPr>
            <w:tcW w:type="dxa" w:w="2880"/>
          </w:tcPr>
          <w:p>
            <w:r>
              <w:t>задовільно</w:t>
            </w:r>
          </w:p>
        </w:tc>
      </w:tr>
      <w:tr>
        <w:tc>
          <w:tcPr>
            <w:tcW w:type="dxa" w:w="2880"/>
          </w:tcPr>
          <w:p>
            <w:r>
              <w:t>E</w:t>
            </w:r>
          </w:p>
        </w:tc>
        <w:tc>
          <w:tcPr>
            <w:tcW w:type="dxa" w:w="2880"/>
          </w:tcPr>
          <w:p>
            <w:r>
              <w:t>60–69</w:t>
            </w:r>
          </w:p>
        </w:tc>
        <w:tc>
          <w:tcPr>
            <w:tcW w:type="dxa" w:w="2880"/>
          </w:tcPr>
          <w:p>
            <w:r>
              <w:t>достатньо</w:t>
            </w:r>
          </w:p>
        </w:tc>
      </w:tr>
      <w:tr>
        <w:tc>
          <w:tcPr>
            <w:tcW w:type="dxa" w:w="2880"/>
          </w:tcPr>
          <w:p>
            <w:r>
              <w:t>FX</w:t>
            </w:r>
          </w:p>
        </w:tc>
        <w:tc>
          <w:tcPr>
            <w:tcW w:type="dxa" w:w="2880"/>
          </w:tcPr>
          <w:p>
            <w:r>
              <w:t>35–59</w:t>
            </w:r>
          </w:p>
        </w:tc>
        <w:tc>
          <w:tcPr>
            <w:tcW w:type="dxa" w:w="2880"/>
          </w:tcPr>
          <w:p>
            <w:r>
              <w:t>незадовільно (з можливістю повторного складання)</w:t>
            </w:r>
          </w:p>
        </w:tc>
      </w:tr>
      <w:tr>
        <w:tc>
          <w:tcPr>
            <w:tcW w:type="dxa" w:w="2880"/>
          </w:tcPr>
          <w:p>
            <w:r>
              <w:t>F</w:t>
            </w:r>
          </w:p>
        </w:tc>
        <w:tc>
          <w:tcPr>
            <w:tcW w:type="dxa" w:w="2880"/>
          </w:tcPr>
          <w:p>
            <w:r>
              <w:t>1–34</w:t>
            </w:r>
          </w:p>
        </w:tc>
        <w:tc>
          <w:tcPr>
            <w:tcW w:type="dxa" w:w="2880"/>
          </w:tcPr>
          <w:p>
            <w:r>
              <w:t>незадовільно (з обов’язковим повторним курсом)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