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37689" w14:textId="77777777" w:rsidR="00C728E6" w:rsidRPr="001B2DFA" w:rsidRDefault="001B2DFA" w:rsidP="001B2DFA">
      <w:pPr>
        <w:spacing w:line="240" w:lineRule="auto"/>
        <w:jc w:val="center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ЛЕКЦІЯ 2</w:t>
      </w:r>
    </w:p>
    <w:p w14:paraId="63271439" w14:textId="0CAD83E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  <w:lang w:val="uk-UA"/>
        </w:rPr>
        <w:t xml:space="preserve">Тема: </w:t>
      </w:r>
      <w:proofErr w:type="spellStart"/>
      <w:r w:rsidRPr="001B2DFA">
        <w:rPr>
          <w:rFonts w:cs="Times New Roman"/>
          <w:b/>
          <w:sz w:val="24"/>
          <w:szCs w:val="24"/>
        </w:rPr>
        <w:t>Особливості</w:t>
      </w:r>
      <w:proofErr w:type="spellEnd"/>
      <w:r w:rsidRPr="001B2DFA">
        <w:rPr>
          <w:rFonts w:cs="Times New Roman"/>
          <w:b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b/>
          <w:sz w:val="24"/>
          <w:szCs w:val="24"/>
        </w:rPr>
        <w:t>психофізичного</w:t>
      </w:r>
      <w:proofErr w:type="spellEnd"/>
      <w:r w:rsidRPr="001B2DFA">
        <w:rPr>
          <w:rFonts w:cs="Times New Roman"/>
          <w:b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b/>
          <w:sz w:val="24"/>
          <w:szCs w:val="24"/>
        </w:rPr>
        <w:t>та</w:t>
      </w:r>
      <w:proofErr w:type="spellEnd"/>
      <w:r w:rsidRPr="001B2DFA">
        <w:rPr>
          <w:rFonts w:cs="Times New Roman"/>
          <w:b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b/>
          <w:sz w:val="24"/>
          <w:szCs w:val="24"/>
        </w:rPr>
        <w:t>соціально-комунікативного</w:t>
      </w:r>
      <w:proofErr w:type="spellEnd"/>
      <w:r w:rsidRPr="001B2DFA">
        <w:rPr>
          <w:rFonts w:cs="Times New Roman"/>
          <w:b/>
          <w:sz w:val="24"/>
          <w:szCs w:val="24"/>
        </w:rPr>
        <w:t xml:space="preserve"> розвитку осіб з розладами аутистичного спектра</w:t>
      </w:r>
    </w:p>
    <w:p w14:paraId="379DF465" w14:textId="4BE380C3" w:rsidR="00C728E6" w:rsidRPr="001B2DFA" w:rsidRDefault="001B2DFA" w:rsidP="001B2DFA">
      <w:pPr>
        <w:spacing w:line="240" w:lineRule="auto"/>
        <w:jc w:val="center"/>
        <w:rPr>
          <w:rFonts w:cs="Times New Roman"/>
          <w:sz w:val="24"/>
          <w:szCs w:val="24"/>
        </w:rPr>
      </w:pPr>
      <w:proofErr w:type="spellStart"/>
      <w:r w:rsidRPr="001B2DFA">
        <w:rPr>
          <w:rFonts w:cs="Times New Roman"/>
          <w:b/>
          <w:sz w:val="24"/>
          <w:szCs w:val="24"/>
        </w:rPr>
        <w:t>План</w:t>
      </w:r>
      <w:proofErr w:type="spellEnd"/>
      <w:r w:rsidRPr="001B2DFA">
        <w:rPr>
          <w:rFonts w:cs="Times New Roman"/>
          <w:b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b/>
          <w:sz w:val="24"/>
          <w:szCs w:val="24"/>
        </w:rPr>
        <w:t>лекції</w:t>
      </w:r>
      <w:proofErr w:type="spellEnd"/>
    </w:p>
    <w:p w14:paraId="41B5A626" w14:textId="77777777" w:rsidR="00C728E6" w:rsidRPr="001B2DFA" w:rsidRDefault="001B2DFA" w:rsidP="001B2DFA">
      <w:pPr>
        <w:pStyle w:val="ae"/>
        <w:numPr>
          <w:ilvl w:val="0"/>
          <w:numId w:val="10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Варіативність проявів РАС і принципи аналізу індивідуального профілю розвитку.</w:t>
      </w:r>
    </w:p>
    <w:p w14:paraId="70B3E960" w14:textId="77777777" w:rsidR="00C728E6" w:rsidRPr="001B2DFA" w:rsidRDefault="001B2DFA" w:rsidP="001B2DFA">
      <w:pPr>
        <w:pStyle w:val="ae"/>
        <w:numPr>
          <w:ilvl w:val="0"/>
          <w:numId w:val="10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Особливості когнітивного розвитку, пізнавальної діяльності та виконавчих функцій.</w:t>
      </w:r>
    </w:p>
    <w:p w14:paraId="410D0574" w14:textId="77777777" w:rsidR="00C728E6" w:rsidRPr="001B2DFA" w:rsidRDefault="001B2DFA" w:rsidP="001B2DFA">
      <w:pPr>
        <w:pStyle w:val="ae"/>
        <w:numPr>
          <w:ilvl w:val="0"/>
          <w:numId w:val="10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Емоційний розвиток, соціальна взаємодія, спіл</w:t>
      </w:r>
      <w:r w:rsidRPr="001B2DFA">
        <w:rPr>
          <w:rFonts w:cs="Times New Roman"/>
          <w:sz w:val="24"/>
          <w:szCs w:val="24"/>
        </w:rPr>
        <w:t>ьна увага й наслідування.</w:t>
      </w:r>
    </w:p>
    <w:p w14:paraId="2B971D77" w14:textId="77777777" w:rsidR="00C728E6" w:rsidRPr="001B2DFA" w:rsidRDefault="001B2DFA" w:rsidP="001B2DFA">
      <w:pPr>
        <w:pStyle w:val="ae"/>
        <w:numPr>
          <w:ilvl w:val="0"/>
          <w:numId w:val="10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Сенсорні особливості та їхній вплив на повсякденне функціонування.</w:t>
      </w:r>
    </w:p>
    <w:p w14:paraId="5F522E67" w14:textId="77777777" w:rsidR="00C728E6" w:rsidRPr="001B2DFA" w:rsidRDefault="001B2DFA" w:rsidP="001B2DFA">
      <w:pPr>
        <w:pStyle w:val="ae"/>
        <w:numPr>
          <w:ilvl w:val="0"/>
          <w:numId w:val="10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Комунікативно-мовленнєвий розвиток осіб з РАС.</w:t>
      </w:r>
    </w:p>
    <w:p w14:paraId="6ECB0CE4" w14:textId="77777777" w:rsidR="00C728E6" w:rsidRPr="001B2DFA" w:rsidRDefault="001B2DFA" w:rsidP="001B2DFA">
      <w:pPr>
        <w:pStyle w:val="ae"/>
        <w:numPr>
          <w:ilvl w:val="0"/>
          <w:numId w:val="10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Супутні стани, оцінювання індивідуальних потреб і практичні висновки для вчителя-логопеда.</w:t>
      </w:r>
    </w:p>
    <w:p w14:paraId="7EBA811C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 xml:space="preserve">1. Варіативність проявів </w:t>
      </w:r>
      <w:r w:rsidRPr="001B2DFA">
        <w:rPr>
          <w:rFonts w:cs="Times New Roman"/>
          <w:b/>
          <w:sz w:val="24"/>
          <w:szCs w:val="24"/>
        </w:rPr>
        <w:t>РАС і принципи аналізу індивідуального профілю розвитку</w:t>
      </w:r>
    </w:p>
    <w:p w14:paraId="53F7F9CB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Розлади аутистичного спектра (РАС) належать до станів нейророзвитку, для яких характерні стійкі особливості соціальної комунікації та взаємодії, а також обмежені, повторювані моделі поведінки, інтерес</w:t>
      </w:r>
      <w:r w:rsidRPr="001B2DFA">
        <w:rPr>
          <w:rFonts w:cs="Times New Roman"/>
          <w:sz w:val="24"/>
          <w:szCs w:val="24"/>
        </w:rPr>
        <w:t xml:space="preserve">ів або діяльності, зокрема сенсорні особливості. Спектр не означає одну лінійну шкалу від «легкого» до «тяжкого»: одна людина може вільно користуватися усним мовленням, але потребувати значної допомоги у складних соціальних ситуаціях, інша — мати обмежене </w:t>
      </w:r>
      <w:r w:rsidRPr="001B2DFA">
        <w:rPr>
          <w:rFonts w:cs="Times New Roman"/>
          <w:sz w:val="24"/>
          <w:szCs w:val="24"/>
        </w:rPr>
        <w:t>усне мовлення, водночас демонструючи високий рівень розуміння та компетентності за наявності доступних засобів комунікації.</w:t>
      </w:r>
    </w:p>
    <w:p w14:paraId="6B36CCDE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Прояви РАС змінюються залежно від віку, мовленнєвого досвіду, інтелектуального розвитку, сенсорного навантаження, підтримки сім’ї, д</w:t>
      </w:r>
      <w:r w:rsidRPr="001B2DFA">
        <w:rPr>
          <w:rFonts w:cs="Times New Roman"/>
          <w:sz w:val="24"/>
          <w:szCs w:val="24"/>
        </w:rPr>
        <w:t xml:space="preserve">оступності середовища та наявності супутніх станів. Зовнішньо подібна поведінка може мати різні причини: уникнення заняття може бути наслідком нерозуміння інструкції, сенсорного перевантаження, тривоги, втоми, болю або недостатньої мотиваційної значущості </w:t>
      </w:r>
      <w:r w:rsidRPr="001B2DFA">
        <w:rPr>
          <w:rFonts w:cs="Times New Roman"/>
          <w:sz w:val="24"/>
          <w:szCs w:val="24"/>
        </w:rPr>
        <w:t>діяльності.</w:t>
      </w:r>
    </w:p>
    <w:p w14:paraId="305E3E9C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Багатовимірний профіль розвитку</w:t>
      </w:r>
    </w:p>
    <w:p w14:paraId="2A94B81F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Комунікація: розуміння зверненого мовлення, ініціація, прохання, відмова, коментування, діалог, АДК.</w:t>
      </w:r>
    </w:p>
    <w:p w14:paraId="266841C0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Пізнання: увага, пам’ять, гнучкість мислення, навчальні стратегії, розуміння причинно-наслідкових зв’язків.</w:t>
      </w:r>
    </w:p>
    <w:p w14:paraId="08AF16FB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Соц</w:t>
      </w:r>
      <w:r w:rsidRPr="001B2DFA">
        <w:rPr>
          <w:rFonts w:cs="Times New Roman"/>
          <w:sz w:val="24"/>
          <w:szCs w:val="24"/>
        </w:rPr>
        <w:t>іальна взаємодія: спільна увага, взаємність, взаємодія з однолітками, розуміння соціальних сигналів.</w:t>
      </w:r>
    </w:p>
    <w:p w14:paraId="40113F73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Сенсорика та моторика: чутливість до звуку, світла, дотику, руху; моторне планування та координація.</w:t>
      </w:r>
    </w:p>
    <w:p w14:paraId="70BBF551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Емоційна регуляція й адаптивні навички: способи самоза</w:t>
      </w:r>
      <w:r w:rsidRPr="001B2DFA">
        <w:rPr>
          <w:rFonts w:cs="Times New Roman"/>
          <w:sz w:val="24"/>
          <w:szCs w:val="24"/>
        </w:rPr>
        <w:t>спокоєння, переходи між видами діяльності, самообслуговування.</w:t>
      </w:r>
    </w:p>
    <w:p w14:paraId="75BF1CC2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Сильні сторони та інтереси: зорове розпізнавання, пам’ять на факти, наполегливість, спеціалізовані інтереси, індивідуальні способи навчання.</w:t>
      </w:r>
    </w:p>
    <w:p w14:paraId="3FBF33E4" w14:textId="13A6796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Професійний висновок: оцінювання має описувати не ли</w:t>
      </w:r>
      <w:r w:rsidRPr="001B2DFA">
        <w:rPr>
          <w:rFonts w:cs="Times New Roman"/>
          <w:sz w:val="24"/>
          <w:szCs w:val="24"/>
        </w:rPr>
        <w:t xml:space="preserve">ше труднощі, а й ресурси особи, доступні способи участі та бар’єри середовища. Не можна автоматично прирівнювати відсутність усного мовлення до низького інтелекту </w:t>
      </w:r>
      <w:proofErr w:type="spellStart"/>
      <w:r w:rsidRPr="001B2DFA">
        <w:rPr>
          <w:rFonts w:cs="Times New Roman"/>
          <w:sz w:val="24"/>
          <w:szCs w:val="24"/>
        </w:rPr>
        <w:t>або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уникнення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погляду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–</w:t>
      </w:r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до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відсутності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зацікавленості</w:t>
      </w:r>
      <w:proofErr w:type="spellEnd"/>
      <w:r w:rsidRPr="001B2DFA">
        <w:rPr>
          <w:rFonts w:cs="Times New Roman"/>
          <w:sz w:val="24"/>
          <w:szCs w:val="24"/>
        </w:rPr>
        <w:t xml:space="preserve"> в іншій людині.</w:t>
      </w:r>
    </w:p>
    <w:p w14:paraId="25367D95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2. Особливості когнітив</w:t>
      </w:r>
      <w:r w:rsidRPr="001B2DFA">
        <w:rPr>
          <w:rFonts w:cs="Times New Roman"/>
          <w:b/>
          <w:sz w:val="24"/>
          <w:szCs w:val="24"/>
        </w:rPr>
        <w:t>ного розвитку, пізнавальної діяльності та виконавчих функцій</w:t>
      </w:r>
    </w:p>
    <w:p w14:paraId="367C891B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 xml:space="preserve">Когнітивний розвиток осіб з РАС є неоднорідним. Можливі як інтелектуальні порушення, так і середній або високий рівень інтелектуальних здібностей. Результат стандартизованого тестування залежить </w:t>
      </w:r>
      <w:r w:rsidRPr="001B2DFA">
        <w:rPr>
          <w:rFonts w:cs="Times New Roman"/>
          <w:sz w:val="24"/>
          <w:szCs w:val="24"/>
        </w:rPr>
        <w:t>від доступності інструкцій, можливості відповісти невербально, сенсорних умов, мотивації та досвіду співпраці з незнайомим фахівцем. Тому окремий низький результат не слід розглядати як вичерпну характеристику пізнавального потенціалу.</w:t>
      </w:r>
    </w:p>
    <w:p w14:paraId="62A4B1B0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 xml:space="preserve">Увага й опрацювання </w:t>
      </w:r>
      <w:r w:rsidRPr="001B2DFA">
        <w:rPr>
          <w:rFonts w:cs="Times New Roman"/>
          <w:b/>
          <w:sz w:val="24"/>
          <w:szCs w:val="24"/>
        </w:rPr>
        <w:t>інформації</w:t>
      </w:r>
    </w:p>
    <w:p w14:paraId="6341A7D1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lastRenderedPageBreak/>
        <w:t>У частини осіб з РАС спостерігається виражена увага до деталей, закономірностей, структурованої або передбачуваної інформації. У деяких ситуаціях складніше швидко переключатися між джерелами інформації, відокремлювати суттєві соціальні сигнали в</w:t>
      </w:r>
      <w:r w:rsidRPr="001B2DFA">
        <w:rPr>
          <w:rFonts w:cs="Times New Roman"/>
          <w:sz w:val="24"/>
          <w:szCs w:val="24"/>
        </w:rPr>
        <w:t>ід другорядних або одночасно опрацьовувати усну інструкцію, рух і шум. Ці особливості не є універсальними і залежать від конкретного завдання.</w:t>
      </w:r>
    </w:p>
    <w:p w14:paraId="68CFF8EE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 xml:space="preserve">Наприклад, дитина може точно відтворювати послідовність букв, але не виконувати інструкцію «Візьми синій олівець </w:t>
      </w:r>
      <w:r w:rsidRPr="001B2DFA">
        <w:rPr>
          <w:rFonts w:cs="Times New Roman"/>
          <w:sz w:val="24"/>
          <w:szCs w:val="24"/>
        </w:rPr>
        <w:t>і поклади його поруч із книгою». Причина може полягати не у відсутності знань про кольори, а в навантаженні на слухомовленнєву пам’ять, складності двоетапної інструкції або відволіканні на фонові стимули. Доцільно розділити інструкцію на кроки та підтримат</w:t>
      </w:r>
      <w:r w:rsidRPr="001B2DFA">
        <w:rPr>
          <w:rFonts w:cs="Times New Roman"/>
          <w:sz w:val="24"/>
          <w:szCs w:val="24"/>
        </w:rPr>
        <w:t>и її візуально.</w:t>
      </w:r>
    </w:p>
    <w:p w14:paraId="0D8DB3E8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Виконавчі функції</w:t>
      </w:r>
    </w:p>
    <w:p w14:paraId="103B7EE9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Виконавчі функції забезпечують планування, робочу пам’ять, гальмування імпульсивної реакції, когнітивну гнучкість і самоконтроль. У частини осіб з РАС можуть виникати труднощі з початком нового завдання, зміною звичного ал</w:t>
      </w:r>
      <w:r w:rsidRPr="001B2DFA">
        <w:rPr>
          <w:rFonts w:cs="Times New Roman"/>
          <w:sz w:val="24"/>
          <w:szCs w:val="24"/>
        </w:rPr>
        <w:t>горитму, плануванням послідовності дій та перенесенням навички в новий контекст. Водночас добре структурована діяльність і зрозумілі правила можуть істотно покращувати результат.</w:t>
      </w:r>
    </w:p>
    <w:p w14:paraId="558069E4" w14:textId="3BEB0FF8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 xml:space="preserve">Для </w:t>
      </w:r>
      <w:proofErr w:type="spellStart"/>
      <w:r w:rsidRPr="001B2DFA">
        <w:rPr>
          <w:rFonts w:cs="Times New Roman"/>
          <w:sz w:val="24"/>
          <w:szCs w:val="24"/>
        </w:rPr>
        <w:t>переходів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між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завданнями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–</w:t>
      </w:r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візуальний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розклад</w:t>
      </w:r>
      <w:proofErr w:type="spellEnd"/>
      <w:r w:rsidRPr="001B2DFA">
        <w:rPr>
          <w:rFonts w:cs="Times New Roman"/>
          <w:sz w:val="24"/>
          <w:szCs w:val="24"/>
        </w:rPr>
        <w:t xml:space="preserve">, </w:t>
      </w:r>
      <w:proofErr w:type="spellStart"/>
      <w:r w:rsidRPr="001B2DFA">
        <w:rPr>
          <w:rFonts w:cs="Times New Roman"/>
          <w:sz w:val="24"/>
          <w:szCs w:val="24"/>
        </w:rPr>
        <w:t>попередження</w:t>
      </w:r>
      <w:proofErr w:type="spellEnd"/>
      <w:r w:rsidRPr="001B2DFA">
        <w:rPr>
          <w:rFonts w:cs="Times New Roman"/>
          <w:sz w:val="24"/>
          <w:szCs w:val="24"/>
        </w:rPr>
        <w:t xml:space="preserve"> про </w:t>
      </w:r>
      <w:r w:rsidRPr="001B2DFA">
        <w:rPr>
          <w:rFonts w:cs="Times New Roman"/>
          <w:sz w:val="24"/>
          <w:szCs w:val="24"/>
        </w:rPr>
        <w:t>зміну діяльності, вибір із двох прийнятних варіантів.</w:t>
      </w:r>
    </w:p>
    <w:p w14:paraId="3A6B20FA" w14:textId="2F9D7E6E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1B2DFA">
        <w:rPr>
          <w:rFonts w:cs="Times New Roman"/>
          <w:sz w:val="24"/>
          <w:szCs w:val="24"/>
        </w:rPr>
        <w:t>Для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багатокрокових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дій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–</w:t>
      </w:r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картки-послідовності</w:t>
      </w:r>
      <w:proofErr w:type="spellEnd"/>
      <w:r w:rsidRPr="001B2DFA">
        <w:rPr>
          <w:rFonts w:cs="Times New Roman"/>
          <w:sz w:val="24"/>
          <w:szCs w:val="24"/>
        </w:rPr>
        <w:t xml:space="preserve">, </w:t>
      </w:r>
      <w:proofErr w:type="spellStart"/>
      <w:r w:rsidRPr="001B2DFA">
        <w:rPr>
          <w:rFonts w:cs="Times New Roman"/>
          <w:sz w:val="24"/>
          <w:szCs w:val="24"/>
        </w:rPr>
        <w:t>чеклісти</w:t>
      </w:r>
      <w:proofErr w:type="spellEnd"/>
      <w:r w:rsidRPr="001B2DFA">
        <w:rPr>
          <w:rFonts w:cs="Times New Roman"/>
          <w:sz w:val="24"/>
          <w:szCs w:val="24"/>
        </w:rPr>
        <w:t>, моделювання першого кроку.</w:t>
      </w:r>
    </w:p>
    <w:p w14:paraId="3ADCE5CC" w14:textId="75EC4982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1B2DFA">
        <w:rPr>
          <w:rFonts w:cs="Times New Roman"/>
          <w:sz w:val="24"/>
          <w:szCs w:val="24"/>
        </w:rPr>
        <w:t>Для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узагальнення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навички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–</w:t>
      </w:r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тренування</w:t>
      </w:r>
      <w:proofErr w:type="spellEnd"/>
      <w:r w:rsidRPr="001B2DFA">
        <w:rPr>
          <w:rFonts w:cs="Times New Roman"/>
          <w:sz w:val="24"/>
          <w:szCs w:val="24"/>
        </w:rPr>
        <w:t xml:space="preserve"> з </w:t>
      </w:r>
      <w:proofErr w:type="spellStart"/>
      <w:r w:rsidRPr="001B2DFA">
        <w:rPr>
          <w:rFonts w:cs="Times New Roman"/>
          <w:sz w:val="24"/>
          <w:szCs w:val="24"/>
        </w:rPr>
        <w:t>різними</w:t>
      </w:r>
      <w:proofErr w:type="spellEnd"/>
      <w:r w:rsidRPr="001B2DFA">
        <w:rPr>
          <w:rFonts w:cs="Times New Roman"/>
          <w:sz w:val="24"/>
          <w:szCs w:val="24"/>
        </w:rPr>
        <w:t xml:space="preserve"> партнерами, матеріалами й у природних ситуаціях.</w:t>
      </w:r>
    </w:p>
    <w:p w14:paraId="476887D2" w14:textId="4887C2D8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1B2DFA">
        <w:rPr>
          <w:rFonts w:cs="Times New Roman"/>
          <w:sz w:val="24"/>
          <w:szCs w:val="24"/>
        </w:rPr>
        <w:t>Для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перевірки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розумін</w:t>
      </w:r>
      <w:r w:rsidRPr="001B2DFA">
        <w:rPr>
          <w:rFonts w:cs="Times New Roman"/>
          <w:sz w:val="24"/>
          <w:szCs w:val="24"/>
        </w:rPr>
        <w:t>ня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–</w:t>
      </w:r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альтернативні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способи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відповіді</w:t>
      </w:r>
      <w:proofErr w:type="spellEnd"/>
      <w:r w:rsidRPr="001B2DFA">
        <w:rPr>
          <w:rFonts w:cs="Times New Roman"/>
          <w:sz w:val="24"/>
          <w:szCs w:val="24"/>
        </w:rPr>
        <w:t>: показати, вибрати, продемонструвати, використати АДК.</w:t>
      </w:r>
    </w:p>
    <w:p w14:paraId="102F4C6C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Пам’ять, навчання та інтереси</w:t>
      </w:r>
    </w:p>
    <w:p w14:paraId="01938981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Сильна пам’ять на окремі факти, візуальні образи, маршрути або послідовності не виключає труднощів із розумінням переносного значення,</w:t>
      </w:r>
      <w:r w:rsidRPr="001B2DFA">
        <w:rPr>
          <w:rFonts w:cs="Times New Roman"/>
          <w:sz w:val="24"/>
          <w:szCs w:val="24"/>
        </w:rPr>
        <w:t xml:space="preserve"> прихованих соціальних правил чи абстрактних інструкцій. Інтенсивні інтереси можуть виконувати важливу пізнавальну та регуляційну функцію: бути джерелом компетентності, мотивації та комунікативних тем. Їх доцільно залучати до навчання, не зводячи весь осві</w:t>
      </w:r>
      <w:r w:rsidRPr="001B2DFA">
        <w:rPr>
          <w:rFonts w:cs="Times New Roman"/>
          <w:sz w:val="24"/>
          <w:szCs w:val="24"/>
        </w:rPr>
        <w:t>тній досвід лише до одного інтересу.</w:t>
      </w:r>
    </w:p>
    <w:p w14:paraId="140ECB2B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3. Емоційний розвиток, соціальна взаємодія, спільна увага та наслідування</w:t>
      </w:r>
    </w:p>
    <w:p w14:paraId="1694F808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Емоційна сфера й регуляція</w:t>
      </w:r>
    </w:p>
    <w:p w14:paraId="6BFC0DDA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Аутичні люди переживають широкий спектр емоцій і можуть бути емпатійними; відмінності частіше стосуються способів розп</w:t>
      </w:r>
      <w:r w:rsidRPr="001B2DFA">
        <w:rPr>
          <w:rFonts w:cs="Times New Roman"/>
          <w:sz w:val="24"/>
          <w:szCs w:val="24"/>
        </w:rPr>
        <w:t>ізнавання, вираження, пояснення та регуляції емоцій. Зовнішня міміка, інтонація або зоровий контакт не завжди точно відображають внутрішній стан. Деякі особи мають труднощі з розпізнаванням і словесним позначенням власних відчуттів (алекситимічні риси), од</w:t>
      </w:r>
      <w:r w:rsidRPr="001B2DFA">
        <w:rPr>
          <w:rFonts w:cs="Times New Roman"/>
          <w:sz w:val="24"/>
          <w:szCs w:val="24"/>
        </w:rPr>
        <w:t>нак це не тотожне аутизму й трапляється не в усіх.</w:t>
      </w:r>
    </w:p>
    <w:p w14:paraId="3FAC5C91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Емоційна дезрегуляція може виникати за накопичення сенсорного, комунікативного та соціального навантаження. Важливо розрізняти цілеспрямовану поведінку, пов’язану з досягненням мети, і реакції перевантажен</w:t>
      </w:r>
      <w:r w:rsidRPr="001B2DFA">
        <w:rPr>
          <w:rFonts w:cs="Times New Roman"/>
          <w:sz w:val="24"/>
          <w:szCs w:val="24"/>
        </w:rPr>
        <w:t>ня, під час яких здатність керувати діями тимчасово знижується. Під час перевантаження пріоритетом є безпека, зменшення стимулів, доступ до звичних засобів регуляції та підтримка комунікації, а не вимога негайно пояснити поведінку.</w:t>
      </w:r>
    </w:p>
    <w:p w14:paraId="52680C5A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Соціальна взаємність</w:t>
      </w:r>
    </w:p>
    <w:p w14:paraId="7CAEC530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Соц</w:t>
      </w:r>
      <w:r w:rsidRPr="001B2DFA">
        <w:rPr>
          <w:rFonts w:cs="Times New Roman"/>
          <w:sz w:val="24"/>
          <w:szCs w:val="24"/>
        </w:rPr>
        <w:t xml:space="preserve">іальна взаємодія охоплює обмін ініціативами, реагування на партнера, чергування ролей, спільне переживання подій і узгодження намірів. У дітей з РАС соціальна взаємність може виявлятися нетипово: дитина підходить до дорослого з предметом, повторює фразу з </w:t>
      </w:r>
      <w:r w:rsidRPr="001B2DFA">
        <w:rPr>
          <w:rFonts w:cs="Times New Roman"/>
          <w:sz w:val="24"/>
          <w:szCs w:val="24"/>
        </w:rPr>
        <w:t>мультфільму як запрошення до гри, ділиться інтересом через показ деталей або прагне бути поруч, не долучаючись до звичної групової активності.</w:t>
      </w:r>
    </w:p>
    <w:p w14:paraId="57CFC33D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lastRenderedPageBreak/>
        <w:t>Для педагога важливо не вимагати однакової форми соціальності від усіх дітей. Замість оцінки «не хоче спілкуватис</w:t>
      </w:r>
      <w:r w:rsidRPr="001B2DFA">
        <w:rPr>
          <w:rFonts w:cs="Times New Roman"/>
          <w:sz w:val="24"/>
          <w:szCs w:val="24"/>
        </w:rPr>
        <w:t>я» слід з’ясувати, які форми контакту доступні, бажані й комфортні, чи розуміє дитина правила взаємодії та чи має можливість ініціювати спілкування.</w:t>
      </w:r>
    </w:p>
    <w:p w14:paraId="5881DE4A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Спільна увага</w:t>
      </w:r>
    </w:p>
    <w:p w14:paraId="0939A2A4" w14:textId="1C7EE8AD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1B2DFA">
        <w:rPr>
          <w:rFonts w:cs="Times New Roman"/>
          <w:sz w:val="24"/>
          <w:szCs w:val="24"/>
        </w:rPr>
        <w:t>Спільна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увага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–</w:t>
      </w:r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здатність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двох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людей</w:t>
      </w:r>
      <w:proofErr w:type="spellEnd"/>
      <w:r w:rsidRPr="001B2DFA">
        <w:rPr>
          <w:rFonts w:cs="Times New Roman"/>
          <w:sz w:val="24"/>
          <w:szCs w:val="24"/>
        </w:rPr>
        <w:t xml:space="preserve"> узгоджувати увагу щодо об’єкта або події та усвідомлюват</w:t>
      </w:r>
      <w:r w:rsidRPr="001B2DFA">
        <w:rPr>
          <w:rFonts w:cs="Times New Roman"/>
          <w:sz w:val="24"/>
          <w:szCs w:val="24"/>
        </w:rPr>
        <w:t xml:space="preserve">и спільність цього досвіду. Вона може виявлятися через чергування погляду між предметом і партнером, показ, жест, вокалізацію, слово або засіб АДК. Розрізняють реагування на ініціативу партнера («Подивись, </w:t>
      </w:r>
      <w:proofErr w:type="gramStart"/>
      <w:r w:rsidRPr="001B2DFA">
        <w:rPr>
          <w:rFonts w:cs="Times New Roman"/>
          <w:sz w:val="24"/>
          <w:szCs w:val="24"/>
        </w:rPr>
        <w:t>літак!»</w:t>
      </w:r>
      <w:proofErr w:type="gramEnd"/>
      <w:r w:rsidRPr="001B2DFA">
        <w:rPr>
          <w:rFonts w:cs="Times New Roman"/>
          <w:sz w:val="24"/>
          <w:szCs w:val="24"/>
        </w:rPr>
        <w:t xml:space="preserve">) та самостійне ініціювання спільної уваги </w:t>
      </w:r>
      <w:r w:rsidRPr="001B2DFA">
        <w:rPr>
          <w:rFonts w:cs="Times New Roman"/>
          <w:sz w:val="24"/>
          <w:szCs w:val="24"/>
        </w:rPr>
        <w:t>(«Дивись, що я знайшов!»).</w:t>
      </w:r>
    </w:p>
    <w:p w14:paraId="03211452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У деяких дітей з РАС розвиток спільної уваги відбувається інакше або потребує більшої підтримки. Для її формування використовують цікаві спільні події, паузи очікування, коментування дій дитини, жести, візуальні підказки, насліду</w:t>
      </w:r>
      <w:r w:rsidRPr="001B2DFA">
        <w:rPr>
          <w:rFonts w:cs="Times New Roman"/>
          <w:sz w:val="24"/>
          <w:szCs w:val="24"/>
        </w:rPr>
        <w:t>вання її ініціатив. Примусове утримання зорового контакту не є необхідною умовою спільної уваги.</w:t>
      </w:r>
    </w:p>
    <w:p w14:paraId="27153DBF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Наслідування та ігрова взаємодія</w:t>
      </w:r>
    </w:p>
    <w:p w14:paraId="74EE8574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Наслідування рухів, дій із предметами, звуків та соціальних сценаріїв сприяє навчанню. В окремих дітей із РАС спонтанне наслід</w:t>
      </w:r>
      <w:r w:rsidRPr="001B2DFA">
        <w:rPr>
          <w:rFonts w:cs="Times New Roman"/>
          <w:sz w:val="24"/>
          <w:szCs w:val="24"/>
        </w:rPr>
        <w:t>ування може бути менш частим, хоча здатність повторити дію за чіткої інструкції зберігається. Причинами труднощів можуть бути особливості уваги, моторного планування, мотивації чи розуміння соціальної мети дії.</w:t>
      </w:r>
    </w:p>
    <w:p w14:paraId="7D82A567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 xml:space="preserve">Починати доцільно з наслідування </w:t>
      </w:r>
      <w:r w:rsidRPr="001B2DFA">
        <w:rPr>
          <w:rFonts w:cs="Times New Roman"/>
          <w:sz w:val="24"/>
          <w:szCs w:val="24"/>
        </w:rPr>
        <w:t>дорослим дій дитини: дорослий повторює її ритм, рух або ігрову дію, створюючи відчуття взаємності. Далі пропонуються короткі, цікаві варіації та можливості для чергування. Метою є не механічне копіювання, а розширення репертуару спільної діяльності.</w:t>
      </w:r>
    </w:p>
    <w:p w14:paraId="181060C6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Взаємо</w:t>
      </w:r>
      <w:r w:rsidRPr="001B2DFA">
        <w:rPr>
          <w:rFonts w:cs="Times New Roman"/>
          <w:b/>
          <w:sz w:val="24"/>
          <w:szCs w:val="24"/>
        </w:rPr>
        <w:t>дія з однолітками</w:t>
      </w:r>
    </w:p>
    <w:p w14:paraId="475D4540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 xml:space="preserve">Складність групової гри може бути пов’язана з високою швидкістю змін, неявними правилами, шумом, непередбачуваністю або необхідністю швидко реагувати на кількох партнерів. Ефективні прийоми: невеликі групи, чіткі ролі, візуальні правила, </w:t>
      </w:r>
      <w:r w:rsidRPr="001B2DFA">
        <w:rPr>
          <w:rFonts w:cs="Times New Roman"/>
          <w:sz w:val="24"/>
          <w:szCs w:val="24"/>
        </w:rPr>
        <w:t>спільна діяльність навколо інтересів, підтримка добровільної участі та навчання однолітків доступним способам взаємодії.</w:t>
      </w:r>
    </w:p>
    <w:p w14:paraId="6036805D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4. Сенсорні особливості та їхній вплив на повсякденне функціонування</w:t>
      </w:r>
    </w:p>
    <w:p w14:paraId="25E76101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 xml:space="preserve">Сенсорні особливості є одним із можливих проявів РАС. Вони можуть </w:t>
      </w:r>
      <w:r w:rsidRPr="001B2DFA">
        <w:rPr>
          <w:rFonts w:cs="Times New Roman"/>
          <w:sz w:val="24"/>
          <w:szCs w:val="24"/>
        </w:rPr>
        <w:t>охоплювати гіперреактивність (підвищену чутливість), гіпореактивність (знижену реакцію), активний пошук відчуттів та незвичну зацікавленість сенсорними характеристиками об’єктів. Реакції можуть відрізнятися за модальностями: одна людина болісно реагує на п</w:t>
      </w:r>
      <w:r w:rsidRPr="001B2DFA">
        <w:rPr>
          <w:rFonts w:cs="Times New Roman"/>
          <w:sz w:val="24"/>
          <w:szCs w:val="24"/>
        </w:rPr>
        <w:t>евні звуки, але активно шукає рухові або тактильні стимули.</w:t>
      </w:r>
    </w:p>
    <w:p w14:paraId="38812873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Основні сенсорні системи</w:t>
      </w:r>
    </w:p>
    <w:p w14:paraId="4DF98963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Слухова: труднощі у шумному класі, реакція на сирени, дзвінки, сушарки для рук; потреба в тихому просторі.</w:t>
      </w:r>
    </w:p>
    <w:p w14:paraId="79186AFC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Зорова: чутливість до мерехтіння, яскравого світла, візуально пе</w:t>
      </w:r>
      <w:r w:rsidRPr="001B2DFA">
        <w:rPr>
          <w:rFonts w:cs="Times New Roman"/>
          <w:sz w:val="24"/>
          <w:szCs w:val="24"/>
        </w:rPr>
        <w:t>ревантажених матеріалів.</w:t>
      </w:r>
    </w:p>
    <w:p w14:paraId="38CD4573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Тактильна: дискомфорт від певних тканин, швів, клею, доторків; або потреба у виражених тактильних відчуттях.</w:t>
      </w:r>
    </w:p>
    <w:p w14:paraId="35EE2904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Смакова та нюхова: вибірковість їжі, реакція на запахи, температуру й текстуру продуктів.</w:t>
      </w:r>
    </w:p>
    <w:p w14:paraId="0CA848EF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 xml:space="preserve">Вестибулярна і пропріоцептивна: </w:t>
      </w:r>
      <w:r w:rsidRPr="001B2DFA">
        <w:rPr>
          <w:rFonts w:cs="Times New Roman"/>
          <w:sz w:val="24"/>
          <w:szCs w:val="24"/>
        </w:rPr>
        <w:t>потреба в русі, гойданні, натиску; складнощі з рівновагою чи дозуванням сили.</w:t>
      </w:r>
    </w:p>
    <w:p w14:paraId="2F02C16E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Інтероцептивна: індивідуальні труднощі з розпізнаванням голоду, спраги, болю, втоми, потреби у відпочинку.</w:t>
      </w:r>
    </w:p>
    <w:p w14:paraId="17C3732D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 xml:space="preserve">Сенсорні реакції не слід трактувати як «примхи» чи свідомий опір. </w:t>
      </w:r>
      <w:r w:rsidRPr="001B2DFA">
        <w:rPr>
          <w:rFonts w:cs="Times New Roman"/>
          <w:sz w:val="24"/>
          <w:szCs w:val="24"/>
        </w:rPr>
        <w:t>Водночас не кожна складна поведінка пояснюється сенсорикою: необхідно враховувати стан здоров’я, біль, тривогу, мовленнєві бар’єри та вимоги ситуації.</w:t>
      </w:r>
    </w:p>
    <w:p w14:paraId="40265380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Вплив на навчання й повсякденне життя</w:t>
      </w:r>
    </w:p>
    <w:p w14:paraId="195E1A49" w14:textId="5C68EE59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lastRenderedPageBreak/>
        <w:t>У дошкільному закладі сенсорне навантаження виникає під час загальн</w:t>
      </w:r>
      <w:r w:rsidRPr="001B2DFA">
        <w:rPr>
          <w:rFonts w:cs="Times New Roman"/>
          <w:sz w:val="24"/>
          <w:szCs w:val="24"/>
        </w:rPr>
        <w:t xml:space="preserve">их свят, приймання їжі, переодягання, занять із музикою, очікування в черзі. У </w:t>
      </w:r>
      <w:proofErr w:type="spellStart"/>
      <w:r w:rsidRPr="001B2DFA">
        <w:rPr>
          <w:rFonts w:cs="Times New Roman"/>
          <w:sz w:val="24"/>
          <w:szCs w:val="24"/>
        </w:rPr>
        <w:t>школі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–</w:t>
      </w:r>
      <w:r w:rsidRPr="001B2DFA">
        <w:rPr>
          <w:rFonts w:cs="Times New Roman"/>
          <w:sz w:val="24"/>
          <w:szCs w:val="24"/>
        </w:rPr>
        <w:t xml:space="preserve"> у </w:t>
      </w:r>
      <w:proofErr w:type="spellStart"/>
      <w:r w:rsidRPr="001B2DFA">
        <w:rPr>
          <w:rFonts w:cs="Times New Roman"/>
          <w:sz w:val="24"/>
          <w:szCs w:val="24"/>
        </w:rPr>
        <w:t>коридорах</w:t>
      </w:r>
      <w:proofErr w:type="spellEnd"/>
      <w:r w:rsidRPr="001B2DFA">
        <w:rPr>
          <w:rFonts w:cs="Times New Roman"/>
          <w:sz w:val="24"/>
          <w:szCs w:val="24"/>
        </w:rPr>
        <w:t xml:space="preserve">, </w:t>
      </w:r>
      <w:proofErr w:type="spellStart"/>
      <w:r w:rsidRPr="001B2DFA">
        <w:rPr>
          <w:rFonts w:cs="Times New Roman"/>
          <w:sz w:val="24"/>
          <w:szCs w:val="24"/>
        </w:rPr>
        <w:t>їдальні</w:t>
      </w:r>
      <w:proofErr w:type="spellEnd"/>
      <w:r w:rsidRPr="001B2DFA">
        <w:rPr>
          <w:rFonts w:cs="Times New Roman"/>
          <w:sz w:val="24"/>
          <w:szCs w:val="24"/>
        </w:rPr>
        <w:t>, під час перерв і групових завдань. Через перевантаження дитина може тимчасово втрачати доступ до раніше сформованих комунікативних навичок, що ство</w:t>
      </w:r>
      <w:r w:rsidRPr="001B2DFA">
        <w:rPr>
          <w:rFonts w:cs="Times New Roman"/>
          <w:sz w:val="24"/>
          <w:szCs w:val="24"/>
        </w:rPr>
        <w:t>рює хибне враження їх відсутності.</w:t>
      </w:r>
    </w:p>
    <w:p w14:paraId="4A23329E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Приклад. Дитина відповідає на запитання в тихій кімнаті, але мовчить під час групового заняття. Замість висновку «не засвоїла матеріал» потрібно порівняти умови: рівень шуму, кількість людей, темп звернення, можливість ви</w:t>
      </w:r>
      <w:r w:rsidRPr="001B2DFA">
        <w:rPr>
          <w:rFonts w:cs="Times New Roman"/>
          <w:sz w:val="24"/>
          <w:szCs w:val="24"/>
        </w:rPr>
        <w:t>користати картку відповіді, час на оброблення інформації.</w:t>
      </w:r>
    </w:p>
    <w:p w14:paraId="4359B7E8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Принципи сенсорно доступного середовища</w:t>
      </w:r>
    </w:p>
    <w:p w14:paraId="63F11752" w14:textId="77777777" w:rsidR="00C728E6" w:rsidRPr="001B2DFA" w:rsidRDefault="001B2DFA" w:rsidP="001B2DFA">
      <w:pPr>
        <w:pStyle w:val="ae"/>
        <w:numPr>
          <w:ilvl w:val="0"/>
          <w:numId w:val="15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Передбачуваність: попередження про гучні події та зміни, візуальні розклади.</w:t>
      </w:r>
    </w:p>
    <w:p w14:paraId="33188F0A" w14:textId="77777777" w:rsidR="00C728E6" w:rsidRPr="001B2DFA" w:rsidRDefault="001B2DFA" w:rsidP="001B2DFA">
      <w:pPr>
        <w:pStyle w:val="ae"/>
        <w:numPr>
          <w:ilvl w:val="0"/>
          <w:numId w:val="15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Вибір: доступ до тихої зони, навушників або іншого індивідуально прийнятного засо</w:t>
      </w:r>
      <w:r w:rsidRPr="001B2DFA">
        <w:rPr>
          <w:rFonts w:cs="Times New Roman"/>
          <w:sz w:val="24"/>
          <w:szCs w:val="24"/>
        </w:rPr>
        <w:t>бу захисту.</w:t>
      </w:r>
    </w:p>
    <w:p w14:paraId="50343BD6" w14:textId="77777777" w:rsidR="00C728E6" w:rsidRPr="001B2DFA" w:rsidRDefault="001B2DFA" w:rsidP="001B2DFA">
      <w:pPr>
        <w:pStyle w:val="ae"/>
        <w:numPr>
          <w:ilvl w:val="0"/>
          <w:numId w:val="15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Дозування: короткі паузи, гнучкий темп, можливість змінити позу чи спосіб участі.</w:t>
      </w:r>
    </w:p>
    <w:p w14:paraId="7EE86C56" w14:textId="77777777" w:rsidR="00C728E6" w:rsidRPr="001B2DFA" w:rsidRDefault="001B2DFA" w:rsidP="001B2DFA">
      <w:pPr>
        <w:pStyle w:val="ae"/>
        <w:numPr>
          <w:ilvl w:val="0"/>
          <w:numId w:val="15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Повага до меж: не примушувати торкатися неприємних матеріалів або терпіти небажані дотики.</w:t>
      </w:r>
    </w:p>
    <w:p w14:paraId="35911927" w14:textId="77777777" w:rsidR="00C728E6" w:rsidRPr="001B2DFA" w:rsidRDefault="001B2DFA" w:rsidP="001B2DFA">
      <w:pPr>
        <w:pStyle w:val="ae"/>
        <w:numPr>
          <w:ilvl w:val="0"/>
          <w:numId w:val="15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Спостереження за результатом: перевіряти, чи справді адаптація підвищує</w:t>
      </w:r>
      <w:r w:rsidRPr="001B2DFA">
        <w:rPr>
          <w:rFonts w:cs="Times New Roman"/>
          <w:sz w:val="24"/>
          <w:szCs w:val="24"/>
        </w:rPr>
        <w:t xml:space="preserve"> участь і комфорт конкретної людини.</w:t>
      </w:r>
    </w:p>
    <w:p w14:paraId="1A7EB507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Сенсорні адаптації слід добирати індивідуально. Для окремих підходів до сенсорної інтеграції доказова база неоднорідна; тому не варто обіцяти універсального ефекту. Пріоритет мають конкретні функціональні цілі та оцінюв</w:t>
      </w:r>
      <w:r w:rsidRPr="001B2DFA">
        <w:rPr>
          <w:rFonts w:cs="Times New Roman"/>
          <w:sz w:val="24"/>
          <w:szCs w:val="24"/>
        </w:rPr>
        <w:t>ання результатів у повсякденних ситуаціях.</w:t>
      </w:r>
    </w:p>
    <w:p w14:paraId="09F38871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5. Особливості комунікативно-мовленнєвого розвитку осіб з РАС</w:t>
      </w:r>
    </w:p>
    <w:p w14:paraId="5EC601AF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Мовленнєві профілі осіб з РАС різноманітні: від відсутності функціонального усного мовлення до розгорнутого граматично правильного мовлення зі специфіч</w:t>
      </w:r>
      <w:r w:rsidRPr="001B2DFA">
        <w:rPr>
          <w:rFonts w:cs="Times New Roman"/>
          <w:sz w:val="24"/>
          <w:szCs w:val="24"/>
        </w:rPr>
        <w:t>ними прагматичними труднощами. Рівень експресивного мовлення може не збігатися з розумінням, а здатність повторити фразу не обов’язково означає розуміння її змісту. Оцінювання має охоплювати як форму, так і функцію комунікації.</w:t>
      </w:r>
    </w:p>
    <w:p w14:paraId="6D3B7DF9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Компоненти комунікативного п</w:t>
      </w:r>
      <w:r w:rsidRPr="001B2DFA">
        <w:rPr>
          <w:rFonts w:cs="Times New Roman"/>
          <w:b/>
          <w:sz w:val="24"/>
          <w:szCs w:val="24"/>
        </w:rPr>
        <w:t>рофілю</w:t>
      </w:r>
    </w:p>
    <w:p w14:paraId="1E5CACC6" w14:textId="77777777" w:rsidR="00C728E6" w:rsidRPr="001B2DFA" w:rsidRDefault="001B2DFA" w:rsidP="001B2DFA">
      <w:pPr>
        <w:pStyle w:val="ae"/>
        <w:numPr>
          <w:ilvl w:val="0"/>
          <w:numId w:val="13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Рецептивний компонент: розуміння слів, фраз, інструкцій, жестів, невербальних сигналів та контексту.</w:t>
      </w:r>
    </w:p>
    <w:p w14:paraId="645CF062" w14:textId="77777777" w:rsidR="00C728E6" w:rsidRPr="001B2DFA" w:rsidRDefault="001B2DFA" w:rsidP="001B2DFA">
      <w:pPr>
        <w:pStyle w:val="ae"/>
        <w:numPr>
          <w:ilvl w:val="0"/>
          <w:numId w:val="13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Експресивний компонент: усне мовлення, жести, показ, письмо, графічні символи, комунікативні пристрої.</w:t>
      </w:r>
    </w:p>
    <w:p w14:paraId="5C7ED23E" w14:textId="77777777" w:rsidR="00C728E6" w:rsidRPr="001B2DFA" w:rsidRDefault="001B2DFA" w:rsidP="001B2DFA">
      <w:pPr>
        <w:pStyle w:val="ae"/>
        <w:numPr>
          <w:ilvl w:val="0"/>
          <w:numId w:val="13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Прагматика: ініціація, підтримання теми, черг</w:t>
      </w:r>
      <w:r w:rsidRPr="001B2DFA">
        <w:rPr>
          <w:rFonts w:cs="Times New Roman"/>
          <w:sz w:val="24"/>
          <w:szCs w:val="24"/>
        </w:rPr>
        <w:t>ування реплік, прохання про допомогу, відмова, коментування, уточнення.</w:t>
      </w:r>
    </w:p>
    <w:p w14:paraId="08546AEB" w14:textId="77777777" w:rsidR="00C728E6" w:rsidRPr="001B2DFA" w:rsidRDefault="001B2DFA" w:rsidP="001B2DFA">
      <w:pPr>
        <w:pStyle w:val="ae"/>
        <w:numPr>
          <w:ilvl w:val="0"/>
          <w:numId w:val="13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Просодика: інтонація, темп, ритм, гучність; відмінності не завжди означають відсутність емоцій.</w:t>
      </w:r>
    </w:p>
    <w:p w14:paraId="29967D68" w14:textId="77777777" w:rsidR="00C728E6" w:rsidRPr="001B2DFA" w:rsidRDefault="001B2DFA" w:rsidP="001B2DFA">
      <w:pPr>
        <w:pStyle w:val="ae"/>
        <w:numPr>
          <w:ilvl w:val="0"/>
          <w:numId w:val="13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Функціональність: чи може людина висловити потребу, вибір, біль, згоду, незгоду та власн</w:t>
      </w:r>
      <w:r w:rsidRPr="001B2DFA">
        <w:rPr>
          <w:rFonts w:cs="Times New Roman"/>
          <w:sz w:val="24"/>
          <w:szCs w:val="24"/>
        </w:rPr>
        <w:t>у думку в реальних умовах.</w:t>
      </w:r>
    </w:p>
    <w:p w14:paraId="0D55D5ED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Ехолалія і скриптове мовлення</w:t>
      </w:r>
    </w:p>
    <w:p w14:paraId="30FCA217" w14:textId="731CA61F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1B2DFA">
        <w:rPr>
          <w:rFonts w:cs="Times New Roman"/>
          <w:sz w:val="24"/>
          <w:szCs w:val="24"/>
        </w:rPr>
        <w:t>Ехолалія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–</w:t>
      </w:r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повторення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раніше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почутих</w:t>
      </w:r>
      <w:proofErr w:type="spellEnd"/>
      <w:r w:rsidRPr="001B2DFA">
        <w:rPr>
          <w:rFonts w:cs="Times New Roman"/>
          <w:sz w:val="24"/>
          <w:szCs w:val="24"/>
        </w:rPr>
        <w:t xml:space="preserve"> висловлювань безпосередньо або з відтермінуванням. Вона може мати комунікативні функції: прохання, саморегуляцію, участь у діалозі, позначення знайомої ситуації. </w:t>
      </w:r>
      <w:r w:rsidRPr="001B2DFA">
        <w:rPr>
          <w:rFonts w:cs="Times New Roman"/>
          <w:sz w:val="24"/>
          <w:szCs w:val="24"/>
        </w:rPr>
        <w:t>Тому автоматичне припинення ехолалії не є самостійною терапевтичною метою. Потрібно з’ясувати контекст і значення повторюваної фрази, після чого моделювати більш гнучкі та доступні способи висловлення наміру.</w:t>
      </w:r>
    </w:p>
    <w:p w14:paraId="66E320A6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 xml:space="preserve">Приклад. Дитина говорить «Поїзд </w:t>
      </w:r>
      <w:proofErr w:type="gramStart"/>
      <w:r w:rsidRPr="001B2DFA">
        <w:rPr>
          <w:rFonts w:cs="Times New Roman"/>
          <w:sz w:val="24"/>
          <w:szCs w:val="24"/>
        </w:rPr>
        <w:t>відправляється!</w:t>
      </w:r>
      <w:r w:rsidRPr="001B2DFA">
        <w:rPr>
          <w:rFonts w:cs="Times New Roman"/>
          <w:sz w:val="24"/>
          <w:szCs w:val="24"/>
        </w:rPr>
        <w:t>»</w:t>
      </w:r>
      <w:proofErr w:type="gramEnd"/>
      <w:r w:rsidRPr="001B2DFA">
        <w:rPr>
          <w:rFonts w:cs="Times New Roman"/>
          <w:sz w:val="24"/>
          <w:szCs w:val="24"/>
        </w:rPr>
        <w:t xml:space="preserve"> перед виходом із кімнати. Це може бути способом повідомити про готовність перейти до іншої діяльності. Учитель-логопед може відповісти: «Ти хочеш іти. Скажемо або покажемо: “Хочу </w:t>
      </w:r>
      <w:proofErr w:type="gramStart"/>
      <w:r w:rsidRPr="001B2DFA">
        <w:rPr>
          <w:rFonts w:cs="Times New Roman"/>
          <w:sz w:val="24"/>
          <w:szCs w:val="24"/>
        </w:rPr>
        <w:t>вийти”»</w:t>
      </w:r>
      <w:proofErr w:type="gramEnd"/>
      <w:r w:rsidRPr="001B2DFA">
        <w:rPr>
          <w:rFonts w:cs="Times New Roman"/>
          <w:sz w:val="24"/>
          <w:szCs w:val="24"/>
        </w:rPr>
        <w:t>, не знецінюючи початкову форму повідомлення.</w:t>
      </w:r>
    </w:p>
    <w:p w14:paraId="32686768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Альтернативна та додат</w:t>
      </w:r>
      <w:r w:rsidRPr="001B2DFA">
        <w:rPr>
          <w:rFonts w:cs="Times New Roman"/>
          <w:b/>
          <w:sz w:val="24"/>
          <w:szCs w:val="24"/>
        </w:rPr>
        <w:t>кова комунікація</w:t>
      </w:r>
    </w:p>
    <w:p w14:paraId="6A53D838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lastRenderedPageBreak/>
        <w:t>АДК охоплює жести, предметні та графічні символи, комунікативні книги, таблиці й електронні засоби. Вона може доповнювати усне мовлення або забезпечувати основний спосіб комунікації. Впровадження АДК не потребує попереднього доведення «гот</w:t>
      </w:r>
      <w:r w:rsidRPr="001B2DFA">
        <w:rPr>
          <w:rFonts w:cs="Times New Roman"/>
          <w:sz w:val="24"/>
          <w:szCs w:val="24"/>
        </w:rPr>
        <w:t>овності» через певний рівень інтелекту чи наслідування і не має відкладатися до появи мовлення.</w:t>
      </w:r>
    </w:p>
    <w:p w14:paraId="2D9ADB93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 xml:space="preserve">Важливі умови: доступність засобу протягом дня, моделювання використання дорослими, можливість висловлювати не лише прохання, а й коментарі, відмову, запитання </w:t>
      </w:r>
      <w:r w:rsidRPr="001B2DFA">
        <w:rPr>
          <w:rFonts w:cs="Times New Roman"/>
          <w:sz w:val="24"/>
          <w:szCs w:val="24"/>
        </w:rPr>
        <w:t>та емоції; співпраця з родиною й педагогами. Для дитини з розвиненим усним мовленням АДК може бути необов’язковою або корисною лише в ситуаціях перевантаження.</w:t>
      </w:r>
    </w:p>
    <w:p w14:paraId="28E65A37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Приклад професійного аналізу</w:t>
      </w:r>
    </w:p>
    <w:p w14:paraId="281FB238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Дитина шести років користується короткими фразами вдома, але під ча</w:t>
      </w:r>
      <w:r w:rsidRPr="001B2DFA">
        <w:rPr>
          <w:rFonts w:cs="Times New Roman"/>
          <w:sz w:val="24"/>
          <w:szCs w:val="24"/>
        </w:rPr>
        <w:t>с занять у групі часто мовчить і відходить убік. План підтримки не повинен зводитися до вправ на «активізацію мовлення». Необхідно дослідити сенсорні умови, рівень тривоги, зрозумілість групових інструкцій, комунікативні ініціативи в різних ситуаціях і дос</w:t>
      </w:r>
      <w:r w:rsidRPr="001B2DFA">
        <w:rPr>
          <w:rFonts w:cs="Times New Roman"/>
          <w:sz w:val="24"/>
          <w:szCs w:val="24"/>
        </w:rPr>
        <w:t>тупні альтернативні способи участі.</w:t>
      </w:r>
    </w:p>
    <w:p w14:paraId="6304D7B2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6. Супутні стани, індивідуальні потреби та професійне оцінювання</w:t>
      </w:r>
    </w:p>
    <w:p w14:paraId="4BD3C133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 xml:space="preserve">У частини осіб з РАС одночасно наявні інші стани, які впливають на розвиток і підтримку: інтелектуальні порушення, розлад дефіциту уваги з </w:t>
      </w:r>
      <w:r w:rsidRPr="001B2DFA">
        <w:rPr>
          <w:rFonts w:cs="Times New Roman"/>
          <w:sz w:val="24"/>
          <w:szCs w:val="24"/>
        </w:rPr>
        <w:t>гіперактивністю, тривожні розлади, порушення сну, епілепсія, моторні труднощі, розлади харчової поведінки, мовленнєві розлади, проблеми шлунково-кишкового тракту. Перелік не є обов’язковим для кожної особи; наявність супутнього стану встановлюють відповідн</w:t>
      </w:r>
      <w:r w:rsidRPr="001B2DFA">
        <w:rPr>
          <w:rFonts w:cs="Times New Roman"/>
          <w:sz w:val="24"/>
          <w:szCs w:val="24"/>
        </w:rPr>
        <w:t>і фахівці, а не лише за педагогічним спостереженням.</w:t>
      </w:r>
    </w:p>
    <w:p w14:paraId="15A78CD5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Особливої уваги потребують різкі зміни поведінки, сну, апетиту, комунікації або раніше сформованих навичок. Вони можуть сигналізувати про біль, захворювання, стрес чи інші причини, що потребують медичної</w:t>
      </w:r>
      <w:r w:rsidRPr="001B2DFA">
        <w:rPr>
          <w:rFonts w:cs="Times New Roman"/>
          <w:sz w:val="24"/>
          <w:szCs w:val="24"/>
        </w:rPr>
        <w:t xml:space="preserve"> оцінки. Педагог не має пояснювати такі зміни лише аутизмом.</w:t>
      </w:r>
    </w:p>
    <w:p w14:paraId="57D28FE9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Функціональне оцінювання потреб</w:t>
      </w:r>
    </w:p>
    <w:p w14:paraId="43E7B0E4" w14:textId="77777777" w:rsidR="00C728E6" w:rsidRPr="001B2DFA" w:rsidRDefault="001B2DFA" w:rsidP="001B2DFA">
      <w:pPr>
        <w:pStyle w:val="ae"/>
        <w:numPr>
          <w:ilvl w:val="0"/>
          <w:numId w:val="12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Зібрати відомості про сильні сторони, інтереси, комунікативні способи та типові умови успішної участі.</w:t>
      </w:r>
    </w:p>
    <w:p w14:paraId="2A79ED1A" w14:textId="77777777" w:rsidR="00C728E6" w:rsidRPr="001B2DFA" w:rsidRDefault="001B2DFA" w:rsidP="001B2DFA">
      <w:pPr>
        <w:pStyle w:val="ae"/>
        <w:numPr>
          <w:ilvl w:val="0"/>
          <w:numId w:val="12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Спостерігати в кількох природних контекстах: удома, у групі,</w:t>
      </w:r>
      <w:r w:rsidRPr="001B2DFA">
        <w:rPr>
          <w:rFonts w:cs="Times New Roman"/>
          <w:sz w:val="24"/>
          <w:szCs w:val="24"/>
        </w:rPr>
        <w:t xml:space="preserve"> на занятті, під час гри та переходів.</w:t>
      </w:r>
    </w:p>
    <w:p w14:paraId="2289C2DB" w14:textId="77777777" w:rsidR="00C728E6" w:rsidRPr="001B2DFA" w:rsidRDefault="001B2DFA" w:rsidP="001B2DFA">
      <w:pPr>
        <w:pStyle w:val="ae"/>
        <w:numPr>
          <w:ilvl w:val="0"/>
          <w:numId w:val="12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Описати конкретні ситуації: що передувало труднощам, що саме відбулося, як реагували оточуючі.</w:t>
      </w:r>
    </w:p>
    <w:p w14:paraId="1A051F2E" w14:textId="77777777" w:rsidR="00C728E6" w:rsidRPr="001B2DFA" w:rsidRDefault="001B2DFA" w:rsidP="001B2DFA">
      <w:pPr>
        <w:pStyle w:val="ae"/>
        <w:numPr>
          <w:ilvl w:val="0"/>
          <w:numId w:val="12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Перевірити доступність інструкцій, сенсорного середовища, темпу та засобів комунікації.</w:t>
      </w:r>
    </w:p>
    <w:p w14:paraId="5189F676" w14:textId="77777777" w:rsidR="00C728E6" w:rsidRPr="001B2DFA" w:rsidRDefault="001B2DFA" w:rsidP="001B2DFA">
      <w:pPr>
        <w:pStyle w:val="ae"/>
        <w:numPr>
          <w:ilvl w:val="0"/>
          <w:numId w:val="12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 xml:space="preserve">Узгодити з дитиною </w:t>
      </w:r>
      <w:r w:rsidRPr="001B2DFA">
        <w:rPr>
          <w:rFonts w:cs="Times New Roman"/>
          <w:sz w:val="24"/>
          <w:szCs w:val="24"/>
        </w:rPr>
        <w:t>(наскільки можливо), сім’єю та командою 2–3 пріоритетні функціональні цілі.</w:t>
      </w:r>
    </w:p>
    <w:p w14:paraId="34C0E309" w14:textId="77777777" w:rsidR="00C728E6" w:rsidRPr="001B2DFA" w:rsidRDefault="001B2DFA" w:rsidP="001B2DFA">
      <w:pPr>
        <w:pStyle w:val="ae"/>
        <w:numPr>
          <w:ilvl w:val="0"/>
          <w:numId w:val="12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Визначити спостережувані показники результату й переглядати план за фактичними змінами участі та добробуту.</w:t>
      </w:r>
    </w:p>
    <w:p w14:paraId="66D2A5C3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Міждисциплінарна взаємодія</w:t>
      </w:r>
    </w:p>
    <w:p w14:paraId="3A2E0D58" w14:textId="1EC7961D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uk-UA"/>
        </w:rPr>
        <w:t>В</w:t>
      </w:r>
      <w:proofErr w:type="spellStart"/>
      <w:r w:rsidRPr="001B2DFA">
        <w:rPr>
          <w:rFonts w:cs="Times New Roman"/>
          <w:sz w:val="24"/>
          <w:szCs w:val="24"/>
        </w:rPr>
        <w:t>читель-логопед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відповідає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за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оцінювання</w:t>
      </w:r>
      <w:proofErr w:type="spellEnd"/>
      <w:r w:rsidRPr="001B2DFA">
        <w:rPr>
          <w:rFonts w:cs="Times New Roman"/>
          <w:sz w:val="24"/>
          <w:szCs w:val="24"/>
        </w:rPr>
        <w:t xml:space="preserve"> та п</w:t>
      </w:r>
      <w:r w:rsidRPr="001B2DFA">
        <w:rPr>
          <w:rFonts w:cs="Times New Roman"/>
          <w:sz w:val="24"/>
          <w:szCs w:val="24"/>
        </w:rPr>
        <w:t xml:space="preserve">ідтримку функціональної комунікації, мовленнєвих і прагматичних навичок, підбір і навчання використання АДК у межах професійної компетентності. Психолог може працювати з емоційною регуляцією, поведінковими та соціальними аспектами; педагог </w:t>
      </w:r>
      <w:r>
        <w:rPr>
          <w:rFonts w:cs="Times New Roman"/>
          <w:sz w:val="24"/>
          <w:szCs w:val="24"/>
        </w:rPr>
        <w:t>–</w:t>
      </w:r>
      <w:r w:rsidRPr="001B2DFA">
        <w:rPr>
          <w:rFonts w:cs="Times New Roman"/>
          <w:sz w:val="24"/>
          <w:szCs w:val="24"/>
        </w:rPr>
        <w:t xml:space="preserve"> із </w:t>
      </w:r>
      <w:proofErr w:type="spellStart"/>
      <w:r w:rsidRPr="001B2DFA">
        <w:rPr>
          <w:rFonts w:cs="Times New Roman"/>
          <w:sz w:val="24"/>
          <w:szCs w:val="24"/>
        </w:rPr>
        <w:t>доступністю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навчання</w:t>
      </w:r>
      <w:proofErr w:type="spellEnd"/>
      <w:r w:rsidRPr="001B2DFA">
        <w:rPr>
          <w:rFonts w:cs="Times New Roman"/>
          <w:sz w:val="24"/>
          <w:szCs w:val="24"/>
        </w:rPr>
        <w:t xml:space="preserve">; </w:t>
      </w:r>
      <w:proofErr w:type="spellStart"/>
      <w:r w:rsidRPr="001B2DFA">
        <w:rPr>
          <w:rFonts w:cs="Times New Roman"/>
          <w:sz w:val="24"/>
          <w:szCs w:val="24"/>
        </w:rPr>
        <w:t>ерготерапевт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–</w:t>
      </w:r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із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повсякденною</w:t>
      </w:r>
      <w:proofErr w:type="spell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діяльністю</w:t>
      </w:r>
      <w:proofErr w:type="spellEnd"/>
      <w:r w:rsidRPr="001B2DFA">
        <w:rPr>
          <w:rFonts w:cs="Times New Roman"/>
          <w:sz w:val="24"/>
          <w:szCs w:val="24"/>
        </w:rPr>
        <w:t xml:space="preserve"> та функціональними адаптаціями; лікарі — з медичними питаннями й супутніми станами. Ролі узгоджуються, а родина та сама особа з РАС мають бути активними учасниками ухвалення рішень.</w:t>
      </w:r>
    </w:p>
    <w:p w14:paraId="13C2CB34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 xml:space="preserve">7. Інтеграція знань: </w:t>
      </w:r>
      <w:r w:rsidRPr="001B2DFA">
        <w:rPr>
          <w:rFonts w:cs="Times New Roman"/>
          <w:b/>
          <w:sz w:val="24"/>
          <w:szCs w:val="24"/>
        </w:rPr>
        <w:t>навчальні ситуації</w:t>
      </w:r>
    </w:p>
    <w:p w14:paraId="32FA4263" w14:textId="57C1EC58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Ситуація 1. «</w:t>
      </w:r>
      <w:proofErr w:type="spellStart"/>
      <w:r w:rsidRPr="001B2DFA">
        <w:rPr>
          <w:rFonts w:cs="Times New Roman"/>
          <w:b/>
          <w:sz w:val="24"/>
          <w:szCs w:val="24"/>
        </w:rPr>
        <w:t>Не</w:t>
      </w:r>
      <w:proofErr w:type="spellEnd"/>
      <w:r w:rsidRPr="001B2DFA">
        <w:rPr>
          <w:rFonts w:cs="Times New Roman"/>
          <w:b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b/>
          <w:sz w:val="24"/>
          <w:szCs w:val="24"/>
        </w:rPr>
        <w:t>дивиться</w:t>
      </w:r>
      <w:proofErr w:type="spellEnd"/>
      <w:r w:rsidRPr="001B2DFA"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>–</w:t>
      </w:r>
      <w:r w:rsidRPr="001B2DFA">
        <w:rPr>
          <w:rFonts w:cs="Times New Roman"/>
          <w:b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b/>
          <w:sz w:val="24"/>
          <w:szCs w:val="24"/>
        </w:rPr>
        <w:t>отже</w:t>
      </w:r>
      <w:proofErr w:type="spellEnd"/>
      <w:r w:rsidRPr="001B2DFA">
        <w:rPr>
          <w:rFonts w:cs="Times New Roman"/>
          <w:b/>
          <w:sz w:val="24"/>
          <w:szCs w:val="24"/>
        </w:rPr>
        <w:t xml:space="preserve">, </w:t>
      </w:r>
      <w:proofErr w:type="spellStart"/>
      <w:r w:rsidRPr="001B2DFA">
        <w:rPr>
          <w:rFonts w:cs="Times New Roman"/>
          <w:b/>
          <w:sz w:val="24"/>
          <w:szCs w:val="24"/>
        </w:rPr>
        <w:t>не</w:t>
      </w:r>
      <w:proofErr w:type="spellEnd"/>
      <w:r w:rsidRPr="001B2DFA">
        <w:rPr>
          <w:rFonts w:cs="Times New Roman"/>
          <w:b/>
          <w:sz w:val="24"/>
          <w:szCs w:val="24"/>
        </w:rPr>
        <w:t xml:space="preserve"> </w:t>
      </w:r>
      <w:proofErr w:type="spellStart"/>
      <w:proofErr w:type="gramStart"/>
      <w:r w:rsidRPr="001B2DFA">
        <w:rPr>
          <w:rFonts w:cs="Times New Roman"/>
          <w:b/>
          <w:sz w:val="24"/>
          <w:szCs w:val="24"/>
        </w:rPr>
        <w:t>слухає</w:t>
      </w:r>
      <w:proofErr w:type="spellEnd"/>
      <w:r w:rsidRPr="001B2DFA">
        <w:rPr>
          <w:rFonts w:cs="Times New Roman"/>
          <w:b/>
          <w:sz w:val="24"/>
          <w:szCs w:val="24"/>
        </w:rPr>
        <w:t>?»</w:t>
      </w:r>
      <w:proofErr w:type="gramEnd"/>
    </w:p>
    <w:p w14:paraId="45D1A828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П’ятирічна дитина під час пояснення дивиться на конструктор, але після короткої інструкції правильно виконує завдання. Дорослий вимагає дивитися йому в очі. Обговорення: які докази розуміння в</w:t>
      </w:r>
      <w:r w:rsidRPr="001B2DFA">
        <w:rPr>
          <w:rFonts w:cs="Times New Roman"/>
          <w:sz w:val="24"/>
          <w:szCs w:val="24"/>
        </w:rPr>
        <w:t>же наявні? Чи є зоровий контакт необхідним показником уваги? Як перевірити розуміння без примусу?</w:t>
      </w:r>
    </w:p>
    <w:p w14:paraId="172CD85B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lastRenderedPageBreak/>
        <w:t xml:space="preserve">Ситуація 2. «Поведінкова проблема чи сенсорне </w:t>
      </w:r>
      <w:proofErr w:type="gramStart"/>
      <w:r w:rsidRPr="001B2DFA">
        <w:rPr>
          <w:rFonts w:cs="Times New Roman"/>
          <w:b/>
          <w:sz w:val="24"/>
          <w:szCs w:val="24"/>
        </w:rPr>
        <w:t>перевантаження?»</w:t>
      </w:r>
      <w:proofErr w:type="gramEnd"/>
    </w:p>
    <w:p w14:paraId="2E74DC06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Під час музичного заняття семирічний учень затуляє вуха, вигукує та намагається вийти. Після пе</w:t>
      </w:r>
      <w:r w:rsidRPr="001B2DFA">
        <w:rPr>
          <w:rFonts w:cs="Times New Roman"/>
          <w:sz w:val="24"/>
          <w:szCs w:val="24"/>
        </w:rPr>
        <w:t>реходу до тихої кімнати відновлює комунікацію. Обговорення: які чинники могли спричинити реакцію? Які адаптації слід запропонувати? Як навчити доступного повідомлення «занадто гучно»?</w:t>
      </w:r>
    </w:p>
    <w:p w14:paraId="54299829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Ситуація 3. «Мовлення є, але спілкування ускладнене»</w:t>
      </w:r>
    </w:p>
    <w:p w14:paraId="5ABF4FC2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 xml:space="preserve">Восьмирічний учень </w:t>
      </w:r>
      <w:r w:rsidRPr="001B2DFA">
        <w:rPr>
          <w:rFonts w:cs="Times New Roman"/>
          <w:sz w:val="24"/>
          <w:szCs w:val="24"/>
        </w:rPr>
        <w:t>розгорнуто розповідає про транспорт, однак не помічає, що співрозмовник хоче змінити тему. Обговорення: чим відрізняються граматична компетентність і прагматичні навички? Як підтримати взаємність без знецінення інтересу дитини?</w:t>
      </w:r>
    </w:p>
    <w:p w14:paraId="7863B0C5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Висновки</w:t>
      </w:r>
    </w:p>
    <w:p w14:paraId="238179F7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Психофізичний та со</w:t>
      </w:r>
      <w:r w:rsidRPr="001B2DFA">
        <w:rPr>
          <w:rFonts w:cs="Times New Roman"/>
          <w:sz w:val="24"/>
          <w:szCs w:val="24"/>
        </w:rPr>
        <w:t>ціально-комунікативний розвиток осіб з РАС характеризується значною індивідуальною варіативністю. Когнітивні, емоційні, сенсорні, моторні й комунікативні особливості взаємодіють між собою та з умовами середовища. Жодна окрема поведінкова ознака не може слу</w:t>
      </w:r>
      <w:r w:rsidRPr="001B2DFA">
        <w:rPr>
          <w:rFonts w:cs="Times New Roman"/>
          <w:sz w:val="24"/>
          <w:szCs w:val="24"/>
        </w:rPr>
        <w:t>гувати повним поясненням потреб людини.</w:t>
      </w:r>
    </w:p>
    <w:p w14:paraId="3930D112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Професійна підтримка має спиратися на сильні сторони, функціональні потреби, доступну комунікацію та участь самої особи й родини у прийнятті рішень. Для вчителя-логопеда пріоритетним є розвиток можливостей висловлюва</w:t>
      </w:r>
      <w:r w:rsidRPr="001B2DFA">
        <w:rPr>
          <w:rFonts w:cs="Times New Roman"/>
          <w:sz w:val="24"/>
          <w:szCs w:val="24"/>
        </w:rPr>
        <w:t>ти наміри, розуміти інших, брати участь у спільній діяльності та користуватися комунікацією в реальному житті.</w:t>
      </w:r>
    </w:p>
    <w:p w14:paraId="20D17F4D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b/>
          <w:sz w:val="24"/>
          <w:szCs w:val="24"/>
        </w:rPr>
        <w:t>Запитання для самоперевірки</w:t>
      </w:r>
    </w:p>
    <w:p w14:paraId="200D65B2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Чому аутистичний спектр не можна описати однією шкалою тяжкості?</w:t>
      </w:r>
    </w:p>
    <w:p w14:paraId="3D032466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Як особливості виконавчих функцій можуть впливати на</w:t>
      </w:r>
      <w:r w:rsidRPr="001B2DFA">
        <w:rPr>
          <w:rFonts w:cs="Times New Roman"/>
          <w:sz w:val="24"/>
          <w:szCs w:val="24"/>
        </w:rPr>
        <w:t xml:space="preserve"> виконання мовленнєвих інструкцій?</w:t>
      </w:r>
    </w:p>
    <w:p w14:paraId="3C982284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Чим відрізняються реагування на спільну увагу та її ініціювання?</w:t>
      </w:r>
    </w:p>
    <w:p w14:paraId="3370E40A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Чому уникнення зорового контакту не дорівнює відсутності уваги або емпатії?</w:t>
      </w:r>
    </w:p>
    <w:p w14:paraId="0CE9356B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Які функції може виконувати ехолалія?</w:t>
      </w:r>
    </w:p>
    <w:p w14:paraId="69B2FEEB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Як сенсорне перевантаження впливає на кому</w:t>
      </w:r>
      <w:r w:rsidRPr="001B2DFA">
        <w:rPr>
          <w:rFonts w:cs="Times New Roman"/>
          <w:sz w:val="24"/>
          <w:szCs w:val="24"/>
        </w:rPr>
        <w:t>нікацію й навчальну участь?</w:t>
      </w:r>
    </w:p>
    <w:p w14:paraId="12EA6E4B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Які чинники слід перевірити, перш ніж робити висновок про причини складної поведінки?</w:t>
      </w:r>
    </w:p>
    <w:p w14:paraId="4695DC75" w14:textId="77777777" w:rsidR="00C728E6" w:rsidRPr="001B2DFA" w:rsidRDefault="001B2DFA" w:rsidP="001B2DFA">
      <w:pPr>
        <w:spacing w:line="240" w:lineRule="auto"/>
        <w:ind w:firstLine="720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Які завдання вчителя-логопеда в міждисциплінарній команді?</w:t>
      </w:r>
    </w:p>
    <w:p w14:paraId="7E374A98" w14:textId="77777777" w:rsidR="00C728E6" w:rsidRPr="001B2DFA" w:rsidRDefault="001B2DFA" w:rsidP="001B2DFA">
      <w:pPr>
        <w:spacing w:line="240" w:lineRule="auto"/>
        <w:jc w:val="center"/>
        <w:rPr>
          <w:rFonts w:cs="Times New Roman"/>
          <w:sz w:val="24"/>
          <w:szCs w:val="24"/>
        </w:rPr>
      </w:pPr>
      <w:proofErr w:type="spellStart"/>
      <w:r w:rsidRPr="001B2DFA">
        <w:rPr>
          <w:rFonts w:cs="Times New Roman"/>
          <w:b/>
          <w:sz w:val="24"/>
          <w:szCs w:val="24"/>
        </w:rPr>
        <w:t>Рекомендована</w:t>
      </w:r>
      <w:proofErr w:type="spellEnd"/>
      <w:r w:rsidRPr="001B2DFA">
        <w:rPr>
          <w:rFonts w:cs="Times New Roman"/>
          <w:b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b/>
          <w:sz w:val="24"/>
          <w:szCs w:val="24"/>
        </w:rPr>
        <w:t>література</w:t>
      </w:r>
      <w:proofErr w:type="spellEnd"/>
    </w:p>
    <w:p w14:paraId="2A359E1C" w14:textId="77777777" w:rsidR="00C728E6" w:rsidRPr="001B2DFA" w:rsidRDefault="001B2DFA" w:rsidP="001B2DFA">
      <w:pPr>
        <w:pStyle w:val="ae"/>
        <w:numPr>
          <w:ilvl w:val="0"/>
          <w:numId w:val="11"/>
        </w:numPr>
        <w:spacing w:line="240" w:lineRule="auto"/>
        <w:ind w:left="0" w:firstLine="709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 xml:space="preserve">American Psychiatric Association. Diagnostic and </w:t>
      </w:r>
      <w:r w:rsidRPr="001B2DFA">
        <w:rPr>
          <w:rFonts w:cs="Times New Roman"/>
          <w:sz w:val="24"/>
          <w:szCs w:val="24"/>
        </w:rPr>
        <w:t>Statistical Manual of Mental Disorders. 5th ed., Text Revision (DSM-5-TR). 2022.</w:t>
      </w:r>
    </w:p>
    <w:p w14:paraId="65FF596F" w14:textId="3620A32A" w:rsidR="00C728E6" w:rsidRPr="001B2DFA" w:rsidRDefault="001B2DFA" w:rsidP="001B2DFA">
      <w:pPr>
        <w:pStyle w:val="ae"/>
        <w:numPr>
          <w:ilvl w:val="0"/>
          <w:numId w:val="11"/>
        </w:numPr>
        <w:spacing w:line="240" w:lineRule="auto"/>
        <w:ind w:left="0" w:firstLine="709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World Health Organization. ICD-</w:t>
      </w:r>
      <w:proofErr w:type="gramStart"/>
      <w:r w:rsidRPr="001B2DFA">
        <w:rPr>
          <w:rFonts w:cs="Times New Roman"/>
          <w:sz w:val="24"/>
          <w:szCs w:val="24"/>
        </w:rPr>
        <w:t>11</w:t>
      </w:r>
      <w:r>
        <w:rPr>
          <w:rFonts w:cs="Times New Roman"/>
          <w:sz w:val="24"/>
          <w:szCs w:val="24"/>
          <w:lang w:val="uk-UA"/>
        </w:rPr>
        <w:t> </w:t>
      </w:r>
      <w:r w:rsidRPr="001B2DFA">
        <w:rPr>
          <w:rFonts w:cs="Times New Roman"/>
          <w:sz w:val="24"/>
          <w:szCs w:val="24"/>
        </w:rPr>
        <w:t>:</w:t>
      </w:r>
      <w:proofErr w:type="gramEnd"/>
      <w:r w:rsidRPr="001B2DFA">
        <w:rPr>
          <w:rFonts w:cs="Times New Roman"/>
          <w:sz w:val="24"/>
          <w:szCs w:val="24"/>
        </w:rPr>
        <w:t xml:space="preserve"> Autism spectrum disorder (6A02). Електронна класифікація: https://icd.who.int/</w:t>
      </w:r>
    </w:p>
    <w:p w14:paraId="1016D92F" w14:textId="02C1EA81" w:rsidR="00C728E6" w:rsidRPr="001B2DFA" w:rsidRDefault="001B2DFA" w:rsidP="001B2DFA">
      <w:pPr>
        <w:pStyle w:val="ae"/>
        <w:numPr>
          <w:ilvl w:val="0"/>
          <w:numId w:val="11"/>
        </w:numPr>
        <w:spacing w:line="240" w:lineRule="auto"/>
        <w:ind w:left="0" w:firstLine="709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Hume</w:t>
      </w:r>
      <w:r>
        <w:rPr>
          <w:rFonts w:cs="Times New Roman"/>
          <w:sz w:val="24"/>
          <w:szCs w:val="24"/>
          <w:lang w:val="uk-UA"/>
        </w:rPr>
        <w:t> </w:t>
      </w:r>
      <w:r w:rsidRPr="001B2DFA">
        <w:rPr>
          <w:rFonts w:cs="Times New Roman"/>
          <w:sz w:val="24"/>
          <w:szCs w:val="24"/>
        </w:rPr>
        <w:t xml:space="preserve">K. et al. Evidence-Based Practices for Children, Youth, </w:t>
      </w:r>
      <w:r w:rsidRPr="001B2DFA">
        <w:rPr>
          <w:rFonts w:cs="Times New Roman"/>
          <w:sz w:val="24"/>
          <w:szCs w:val="24"/>
        </w:rPr>
        <w:t xml:space="preserve">and Young Adults with </w:t>
      </w:r>
      <w:proofErr w:type="gramStart"/>
      <w:r w:rsidRPr="001B2DFA">
        <w:rPr>
          <w:rFonts w:cs="Times New Roman"/>
          <w:sz w:val="24"/>
          <w:szCs w:val="24"/>
        </w:rPr>
        <w:t>Autism</w:t>
      </w:r>
      <w:r>
        <w:rPr>
          <w:rFonts w:cs="Times New Roman"/>
          <w:sz w:val="24"/>
          <w:szCs w:val="24"/>
          <w:lang w:val="uk-UA"/>
        </w:rPr>
        <w:t> </w:t>
      </w:r>
      <w:r w:rsidRPr="001B2DFA">
        <w:rPr>
          <w:rFonts w:cs="Times New Roman"/>
          <w:sz w:val="24"/>
          <w:szCs w:val="24"/>
        </w:rPr>
        <w:t>:</w:t>
      </w:r>
      <w:proofErr w:type="gramEnd"/>
      <w:r w:rsidRPr="001B2DFA">
        <w:rPr>
          <w:rFonts w:cs="Times New Roman"/>
          <w:sz w:val="24"/>
          <w:szCs w:val="24"/>
        </w:rPr>
        <w:t xml:space="preserve"> Third Generation Review. Journal of Autism and Developmental Disorders. 2021. DOI: 10.1007/s10803-020-04844-2.</w:t>
      </w:r>
    </w:p>
    <w:p w14:paraId="57969C17" w14:textId="11917D50" w:rsidR="00C728E6" w:rsidRPr="001B2DFA" w:rsidRDefault="001B2DFA" w:rsidP="001B2DFA">
      <w:pPr>
        <w:pStyle w:val="ae"/>
        <w:numPr>
          <w:ilvl w:val="0"/>
          <w:numId w:val="11"/>
        </w:numPr>
        <w:spacing w:line="240" w:lineRule="auto"/>
        <w:ind w:left="0" w:firstLine="709"/>
        <w:jc w:val="both"/>
        <w:rPr>
          <w:rFonts w:cs="Times New Roman"/>
          <w:sz w:val="24"/>
          <w:szCs w:val="24"/>
        </w:rPr>
      </w:pPr>
      <w:r w:rsidRPr="001B2DFA">
        <w:rPr>
          <w:rFonts w:cs="Times New Roman"/>
          <w:sz w:val="24"/>
          <w:szCs w:val="24"/>
        </w:rPr>
        <w:t>Pope</w:t>
      </w:r>
      <w:r>
        <w:rPr>
          <w:rFonts w:cs="Times New Roman"/>
          <w:sz w:val="24"/>
          <w:szCs w:val="24"/>
          <w:lang w:val="uk-UA"/>
        </w:rPr>
        <w:t> </w:t>
      </w:r>
      <w:r w:rsidRPr="001B2DFA">
        <w:rPr>
          <w:rFonts w:cs="Times New Roman"/>
          <w:sz w:val="24"/>
          <w:szCs w:val="24"/>
        </w:rPr>
        <w:t>L., Light</w:t>
      </w:r>
      <w:r>
        <w:rPr>
          <w:rFonts w:cs="Times New Roman"/>
          <w:sz w:val="24"/>
          <w:szCs w:val="24"/>
          <w:lang w:val="uk-UA"/>
        </w:rPr>
        <w:t> </w:t>
      </w:r>
      <w:r w:rsidRPr="001B2DFA">
        <w:rPr>
          <w:rFonts w:cs="Times New Roman"/>
          <w:sz w:val="24"/>
          <w:szCs w:val="24"/>
        </w:rPr>
        <w:t>J., Laubscher</w:t>
      </w:r>
      <w:r>
        <w:rPr>
          <w:rFonts w:cs="Times New Roman"/>
          <w:sz w:val="24"/>
          <w:szCs w:val="24"/>
          <w:lang w:val="uk-UA"/>
        </w:rPr>
        <w:t> </w:t>
      </w:r>
      <w:r w:rsidRPr="001B2DFA">
        <w:rPr>
          <w:rFonts w:cs="Times New Roman"/>
          <w:sz w:val="24"/>
          <w:szCs w:val="24"/>
        </w:rPr>
        <w:t xml:space="preserve">E. The Effect of Naturalistic Developmental Behavioral Interventions and Aided AAC on </w:t>
      </w:r>
      <w:r w:rsidRPr="001B2DFA">
        <w:rPr>
          <w:rFonts w:cs="Times New Roman"/>
          <w:sz w:val="24"/>
          <w:szCs w:val="24"/>
        </w:rPr>
        <w:t xml:space="preserve">the Language Development of Children on the Autism Spectrum with Minimal </w:t>
      </w:r>
      <w:proofErr w:type="gramStart"/>
      <w:r w:rsidRPr="001B2DFA">
        <w:rPr>
          <w:rFonts w:cs="Times New Roman"/>
          <w:sz w:val="24"/>
          <w:szCs w:val="24"/>
        </w:rPr>
        <w:t>Speech</w:t>
      </w:r>
      <w:r>
        <w:rPr>
          <w:rFonts w:cs="Times New Roman"/>
          <w:sz w:val="24"/>
          <w:szCs w:val="24"/>
          <w:lang w:val="uk-UA"/>
        </w:rPr>
        <w:t> </w:t>
      </w:r>
      <w:r w:rsidRPr="001B2DFA">
        <w:rPr>
          <w:rFonts w:cs="Times New Roman"/>
          <w:sz w:val="24"/>
          <w:szCs w:val="24"/>
        </w:rPr>
        <w:t>:</w:t>
      </w:r>
      <w:proofErr w:type="gramEnd"/>
      <w:r w:rsidRPr="001B2DFA">
        <w:rPr>
          <w:rFonts w:cs="Times New Roman"/>
          <w:sz w:val="24"/>
          <w:szCs w:val="24"/>
        </w:rPr>
        <w:t xml:space="preserve"> A Systematic Review and Meta-analysis. Journal of Autism and Developmental Disorders. 2025. DOI: 10.1007/s10803-024-06382-7.</w:t>
      </w:r>
    </w:p>
    <w:p w14:paraId="47EF0B27" w14:textId="189AB942" w:rsidR="00C728E6" w:rsidRPr="001B2DFA" w:rsidRDefault="001B2DFA" w:rsidP="001B2DFA">
      <w:pPr>
        <w:pStyle w:val="ae"/>
        <w:numPr>
          <w:ilvl w:val="0"/>
          <w:numId w:val="11"/>
        </w:numPr>
        <w:spacing w:line="240" w:lineRule="auto"/>
        <w:ind w:left="0" w:firstLine="709"/>
        <w:jc w:val="both"/>
        <w:rPr>
          <w:rFonts w:cs="Times New Roman"/>
          <w:sz w:val="24"/>
          <w:szCs w:val="24"/>
        </w:rPr>
      </w:pPr>
      <w:proofErr w:type="spellStart"/>
      <w:r w:rsidRPr="001B2DFA">
        <w:rPr>
          <w:rFonts w:cs="Times New Roman"/>
          <w:sz w:val="24"/>
          <w:szCs w:val="24"/>
        </w:rPr>
        <w:t>Тарасун</w:t>
      </w:r>
      <w:proofErr w:type="spellEnd"/>
      <w:r>
        <w:rPr>
          <w:rFonts w:cs="Times New Roman"/>
          <w:sz w:val="24"/>
          <w:szCs w:val="24"/>
          <w:lang w:val="uk-UA"/>
        </w:rPr>
        <w:t> </w:t>
      </w:r>
      <w:r w:rsidRPr="001B2DFA">
        <w:rPr>
          <w:rFonts w:cs="Times New Roman"/>
          <w:sz w:val="24"/>
          <w:szCs w:val="24"/>
        </w:rPr>
        <w:t>В.</w:t>
      </w:r>
      <w:r>
        <w:rPr>
          <w:rFonts w:cs="Times New Roman"/>
          <w:sz w:val="24"/>
          <w:szCs w:val="24"/>
          <w:lang w:val="uk-UA"/>
        </w:rPr>
        <w:t> </w:t>
      </w:r>
      <w:r w:rsidRPr="001B2DFA">
        <w:rPr>
          <w:rFonts w:cs="Times New Roman"/>
          <w:sz w:val="24"/>
          <w:szCs w:val="24"/>
        </w:rPr>
        <w:t xml:space="preserve">В. </w:t>
      </w:r>
      <w:proofErr w:type="gramStart"/>
      <w:r w:rsidRPr="001B2DFA">
        <w:rPr>
          <w:rFonts w:cs="Times New Roman"/>
          <w:sz w:val="24"/>
          <w:szCs w:val="24"/>
        </w:rPr>
        <w:t>Аутологія</w:t>
      </w:r>
      <w:r>
        <w:rPr>
          <w:rFonts w:cs="Times New Roman"/>
          <w:sz w:val="24"/>
          <w:szCs w:val="24"/>
          <w:lang w:val="uk-UA"/>
        </w:rPr>
        <w:t> </w:t>
      </w:r>
      <w:r w:rsidRPr="001B2DFA">
        <w:rPr>
          <w:rFonts w:cs="Times New Roman"/>
          <w:sz w:val="24"/>
          <w:szCs w:val="24"/>
        </w:rPr>
        <w:t>:</w:t>
      </w:r>
      <w:proofErr w:type="gramEnd"/>
      <w:r w:rsidRPr="001B2DFA">
        <w:rPr>
          <w:rFonts w:cs="Times New Roman"/>
          <w:sz w:val="24"/>
          <w:szCs w:val="24"/>
        </w:rPr>
        <w:t xml:space="preserve"> </w:t>
      </w:r>
      <w:proofErr w:type="spellStart"/>
      <w:r w:rsidRPr="001B2DFA">
        <w:rPr>
          <w:rFonts w:cs="Times New Roman"/>
          <w:sz w:val="24"/>
          <w:szCs w:val="24"/>
        </w:rPr>
        <w:t>теорія</w:t>
      </w:r>
      <w:proofErr w:type="spellEnd"/>
      <w:r w:rsidRPr="001B2DFA">
        <w:rPr>
          <w:rFonts w:cs="Times New Roman"/>
          <w:sz w:val="24"/>
          <w:szCs w:val="24"/>
        </w:rPr>
        <w:t xml:space="preserve"> і </w:t>
      </w:r>
      <w:proofErr w:type="spellStart"/>
      <w:r w:rsidRPr="001B2DFA">
        <w:rPr>
          <w:rFonts w:cs="Times New Roman"/>
          <w:sz w:val="24"/>
          <w:szCs w:val="24"/>
        </w:rPr>
        <w:t>практика</w:t>
      </w:r>
      <w:proofErr w:type="spellEnd"/>
      <w:r w:rsidRPr="001B2DFA">
        <w:rPr>
          <w:rFonts w:cs="Times New Roman"/>
          <w:sz w:val="24"/>
          <w:szCs w:val="24"/>
        </w:rPr>
        <w:t xml:space="preserve">. </w:t>
      </w:r>
      <w:proofErr w:type="spellStart"/>
      <w:proofErr w:type="gramStart"/>
      <w:r w:rsidRPr="001B2DFA">
        <w:rPr>
          <w:rFonts w:cs="Times New Roman"/>
          <w:sz w:val="24"/>
          <w:szCs w:val="24"/>
        </w:rPr>
        <w:t>Київ</w:t>
      </w:r>
      <w:proofErr w:type="spellEnd"/>
      <w:r>
        <w:rPr>
          <w:rFonts w:cs="Times New Roman"/>
          <w:sz w:val="24"/>
          <w:szCs w:val="24"/>
          <w:lang w:val="uk-UA"/>
        </w:rPr>
        <w:t> </w:t>
      </w:r>
      <w:r w:rsidRPr="001B2DFA">
        <w:rPr>
          <w:rFonts w:cs="Times New Roman"/>
          <w:sz w:val="24"/>
          <w:szCs w:val="24"/>
        </w:rPr>
        <w:t>:</w:t>
      </w:r>
      <w:proofErr w:type="gramEnd"/>
      <w:r w:rsidRPr="001B2DFA">
        <w:rPr>
          <w:rFonts w:cs="Times New Roman"/>
          <w:sz w:val="24"/>
          <w:szCs w:val="24"/>
        </w:rPr>
        <w:t xml:space="preserve"> </w:t>
      </w:r>
      <w:r w:rsidRPr="001B2DFA">
        <w:rPr>
          <w:rFonts w:cs="Times New Roman"/>
          <w:sz w:val="24"/>
          <w:szCs w:val="24"/>
        </w:rPr>
        <w:t xml:space="preserve">Вадекс, 2018. 590 с. </w:t>
      </w:r>
    </w:p>
    <w:sectPr w:rsidR="00C728E6" w:rsidRPr="001B2DFA" w:rsidSect="001B2DFA">
      <w:pgSz w:w="12240" w:h="15840"/>
      <w:pgMar w:top="1134" w:right="47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5D01FB2"/>
    <w:multiLevelType w:val="hybridMultilevel"/>
    <w:tmpl w:val="6B5AF50C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E243888"/>
    <w:multiLevelType w:val="hybridMultilevel"/>
    <w:tmpl w:val="087A6BD4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E0B455B"/>
    <w:multiLevelType w:val="hybridMultilevel"/>
    <w:tmpl w:val="E5BA8FEA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1960CF4"/>
    <w:multiLevelType w:val="hybridMultilevel"/>
    <w:tmpl w:val="38FC778C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9D567B1"/>
    <w:multiLevelType w:val="hybridMultilevel"/>
    <w:tmpl w:val="9CC49E4C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32D5EBF"/>
    <w:multiLevelType w:val="hybridMultilevel"/>
    <w:tmpl w:val="3A1A7C2A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2"/>
  </w:num>
  <w:num w:numId="12">
    <w:abstractNumId w:val="13"/>
  </w:num>
  <w:num w:numId="13">
    <w:abstractNumId w:val="10"/>
  </w:num>
  <w:num w:numId="14">
    <w:abstractNumId w:val="1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2DFA"/>
    <w:rsid w:val="0029639D"/>
    <w:rsid w:val="00326F90"/>
    <w:rsid w:val="00AA1D8D"/>
    <w:rsid w:val="00B47730"/>
    <w:rsid w:val="00C728E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96FC78"/>
  <w14:defaultImageDpi w14:val="300"/>
  <w15:docId w15:val="{CE2AF48A-642B-4282-A249-4EDABED14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68485E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68485E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68485E"/>
      <w:spacing w:val="5"/>
      <w:kern w:val="28"/>
      <w:sz w:val="36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12255</Words>
  <Characters>6986</Characters>
  <Application>Microsoft Office Word</Application>
  <DocSecurity>0</DocSecurity>
  <Lines>58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Наталия Соха</cp:lastModifiedBy>
  <cp:revision>2</cp:revision>
  <dcterms:created xsi:type="dcterms:W3CDTF">2013-12-23T23:15:00Z</dcterms:created>
  <dcterms:modified xsi:type="dcterms:W3CDTF">2026-10-12T17:56:00Z</dcterms:modified>
  <cp:category/>
</cp:coreProperties>
</file>