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FEB43" w14:textId="63180AB1" w:rsidR="00052C82" w:rsidRPr="00D05728" w:rsidRDefault="00052C82" w:rsidP="00D05728">
      <w:pPr>
        <w:spacing w:after="0"/>
        <w:jc w:val="center"/>
        <w:rPr>
          <w:rFonts w:ascii="Times New Roman" w:hAnsi="Times New Roman" w:cs="Times New Roman"/>
          <w:b/>
          <w:bCs/>
          <w:sz w:val="24"/>
          <w:szCs w:val="24"/>
        </w:rPr>
      </w:pPr>
      <w:r w:rsidRPr="00D05728">
        <w:rPr>
          <w:rFonts w:ascii="Times New Roman" w:hAnsi="Times New Roman" w:cs="Times New Roman"/>
          <w:b/>
          <w:bCs/>
          <w:sz w:val="24"/>
          <w:szCs w:val="24"/>
        </w:rPr>
        <w:t>Лекція 3.</w:t>
      </w:r>
    </w:p>
    <w:p w14:paraId="2CDF5589" w14:textId="6A5B46C4" w:rsidR="0046585E" w:rsidRPr="00D05728" w:rsidRDefault="00052C82" w:rsidP="00D05728">
      <w:pPr>
        <w:spacing w:after="0"/>
        <w:jc w:val="center"/>
        <w:rPr>
          <w:rFonts w:ascii="Times New Roman" w:hAnsi="Times New Roman" w:cs="Times New Roman"/>
          <w:b/>
          <w:bCs/>
          <w:sz w:val="24"/>
          <w:szCs w:val="24"/>
        </w:rPr>
      </w:pPr>
      <w:r w:rsidRPr="00D05728">
        <w:rPr>
          <w:rFonts w:ascii="Times New Roman" w:hAnsi="Times New Roman" w:cs="Times New Roman"/>
          <w:b/>
          <w:bCs/>
          <w:sz w:val="24"/>
          <w:szCs w:val="24"/>
        </w:rPr>
        <w:t>Тема 3. Раннє виявлення та комплексне оцінювання розвитку дітей з розладами аутистичного спектра</w:t>
      </w:r>
    </w:p>
    <w:p w14:paraId="6FAB2C71" w14:textId="6B3D989F" w:rsidR="00052C82" w:rsidRPr="00D05728" w:rsidRDefault="00052C82" w:rsidP="00D05728">
      <w:pPr>
        <w:tabs>
          <w:tab w:val="num" w:pos="720"/>
        </w:tabs>
        <w:spacing w:after="0"/>
        <w:jc w:val="center"/>
        <w:rPr>
          <w:rFonts w:ascii="Times New Roman" w:hAnsi="Times New Roman" w:cs="Times New Roman"/>
          <w:b/>
          <w:bCs/>
          <w:sz w:val="24"/>
          <w:szCs w:val="24"/>
        </w:rPr>
      </w:pPr>
      <w:r w:rsidRPr="00052C82">
        <w:rPr>
          <w:rFonts w:ascii="Times New Roman" w:hAnsi="Times New Roman" w:cs="Times New Roman"/>
          <w:b/>
          <w:bCs/>
          <w:sz w:val="24"/>
          <w:szCs w:val="24"/>
        </w:rPr>
        <w:t>План</w:t>
      </w:r>
    </w:p>
    <w:p w14:paraId="0A59901B" w14:textId="382146F0" w:rsidR="00052C82" w:rsidRPr="00D05728" w:rsidRDefault="00052C82" w:rsidP="00052C82">
      <w:pPr>
        <w:pStyle w:val="a3"/>
        <w:numPr>
          <w:ilvl w:val="0"/>
          <w:numId w:val="2"/>
        </w:numPr>
        <w:tabs>
          <w:tab w:val="num" w:pos="360"/>
        </w:tabs>
        <w:spacing w:after="0"/>
        <w:ind w:left="0" w:firstLine="709"/>
        <w:jc w:val="both"/>
        <w:rPr>
          <w:rFonts w:ascii="Times New Roman" w:hAnsi="Times New Roman" w:cs="Times New Roman"/>
          <w:sz w:val="24"/>
          <w:szCs w:val="24"/>
        </w:rPr>
      </w:pPr>
      <w:r w:rsidRPr="00D05728">
        <w:rPr>
          <w:rFonts w:ascii="Times New Roman" w:hAnsi="Times New Roman" w:cs="Times New Roman"/>
          <w:sz w:val="24"/>
          <w:szCs w:val="24"/>
        </w:rPr>
        <w:t>Сутність раннього виявлення розладів аутистичного спектра та його значення для розвитку дитини.</w:t>
      </w:r>
    </w:p>
    <w:p w14:paraId="28FA197A"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Ранні ознаки РАС у немовлячому, ранньому та дошкільному віці.</w:t>
      </w:r>
    </w:p>
    <w:p w14:paraId="1DB0239B"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Скринінгові методики виявлення ризику РАС: можливості та обмеження.</w:t>
      </w:r>
    </w:p>
    <w:p w14:paraId="0952B353"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Сучасні діагностичні критерії розладів аутистичного спектра.</w:t>
      </w:r>
    </w:p>
    <w:p w14:paraId="44B62B9A"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Диференційна діагностика РАС та інших порушень розвитку.</w:t>
      </w:r>
    </w:p>
    <w:p w14:paraId="1BB3927B"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Міждисциплінарний підхід до комплексного оцінювання розвитку дітей з РАС.</w:t>
      </w:r>
    </w:p>
    <w:p w14:paraId="530742DD"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Психолого-педагогічне та логопедичне оцінювання комунікативних, мовленнєвих і соціальних навичок.</w:t>
      </w:r>
    </w:p>
    <w:p w14:paraId="589CEB61" w14:textId="77777777" w:rsidR="00052C82" w:rsidRPr="00052C82" w:rsidRDefault="00052C82" w:rsidP="00052C82">
      <w:pPr>
        <w:numPr>
          <w:ilvl w:val="0"/>
          <w:numId w:val="2"/>
        </w:numPr>
        <w:tabs>
          <w:tab w:val="num" w:pos="360"/>
        </w:tabs>
        <w:spacing w:after="0"/>
        <w:ind w:left="0" w:firstLine="709"/>
        <w:jc w:val="both"/>
        <w:rPr>
          <w:rFonts w:ascii="Times New Roman" w:hAnsi="Times New Roman" w:cs="Times New Roman"/>
          <w:sz w:val="24"/>
          <w:szCs w:val="24"/>
        </w:rPr>
      </w:pPr>
      <w:r w:rsidRPr="00052C82">
        <w:rPr>
          <w:rFonts w:ascii="Times New Roman" w:hAnsi="Times New Roman" w:cs="Times New Roman"/>
          <w:sz w:val="24"/>
          <w:szCs w:val="24"/>
        </w:rPr>
        <w:t>Визначення індивідуальних потреб дитини з РАС у підтримці.</w:t>
      </w:r>
    </w:p>
    <w:p w14:paraId="031AF02E"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1. Сутність раннього виявлення розладів аутистичного спектра та його значення для розвитку дитини</w:t>
      </w:r>
    </w:p>
    <w:p w14:paraId="3B7CC32B"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Розлади аутистичного спектра належать до </w:t>
      </w:r>
      <w:proofErr w:type="spellStart"/>
      <w:r w:rsidRPr="00052C82">
        <w:rPr>
          <w:rFonts w:ascii="Times New Roman" w:eastAsia="Times New Roman" w:hAnsi="Times New Roman" w:cs="Times New Roman"/>
          <w:sz w:val="24"/>
          <w:szCs w:val="24"/>
          <w:lang w:eastAsia="uk-UA"/>
        </w:rPr>
        <w:t>нейророзвиткових</w:t>
      </w:r>
      <w:proofErr w:type="spellEnd"/>
      <w:r w:rsidRPr="00052C82">
        <w:rPr>
          <w:rFonts w:ascii="Times New Roman" w:eastAsia="Times New Roman" w:hAnsi="Times New Roman" w:cs="Times New Roman"/>
          <w:sz w:val="24"/>
          <w:szCs w:val="24"/>
          <w:lang w:eastAsia="uk-UA"/>
        </w:rPr>
        <w:t xml:space="preserve"> розладів, які характеризуються особливостями соціальної комунікації та соціальної взаємодії, а також обмеженими, повторюваними моделями поведінки, інтересів або діяльності. Прояви РАС виникають у період раннього розвитку, хоча їхня вираженість, характер і вплив на повсякденне функціонування можуть істотно відрізнятися залежно від віку дитини, рівня розвитку мовлення, інтелектуальних можливостей, сенсорних особливостей та умов соціального середовища.</w:t>
      </w:r>
    </w:p>
    <w:p w14:paraId="3C5813C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Сучасне розуміння аутизму ґрунтується на визнанні його спектрального характеру. Поняття «спектр» відображає значну різноманітність проявів розладу, а не послідовність станів від «легкого» до «тяжкого» за одним показником. Діти з однаковим клінічним діагнозом можуть мати принципово різні профілі розвитку. Одна дитина може демонструвати високий рівень сформованості граматичного мовлення, але відчувати суттєві труднощі у використанні </w:t>
      </w:r>
      <w:proofErr w:type="spellStart"/>
      <w:r w:rsidRPr="00052C82">
        <w:rPr>
          <w:rFonts w:ascii="Times New Roman" w:eastAsia="Times New Roman" w:hAnsi="Times New Roman" w:cs="Times New Roman"/>
          <w:sz w:val="24"/>
          <w:szCs w:val="24"/>
          <w:lang w:eastAsia="uk-UA"/>
        </w:rPr>
        <w:t>мовних</w:t>
      </w:r>
      <w:proofErr w:type="spellEnd"/>
      <w:r w:rsidRPr="00052C82">
        <w:rPr>
          <w:rFonts w:ascii="Times New Roman" w:eastAsia="Times New Roman" w:hAnsi="Times New Roman" w:cs="Times New Roman"/>
          <w:sz w:val="24"/>
          <w:szCs w:val="24"/>
          <w:lang w:eastAsia="uk-UA"/>
        </w:rPr>
        <w:t xml:space="preserve"> засобів для підтримання діалогу. Інша дитина може не користуватися усним мовленням, проте активно встановлювати контакт за допомогою жестів, зображень або засобів альтернативної та додаткової комунікації. Ще одна дитина може мати виражені сенсорні особливості, які суттєво впливають на її участь у повсякденній діяльності.</w:t>
      </w:r>
    </w:p>
    <w:p w14:paraId="19FB8AE4"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Отже, раннє виявлення РАС не може обмежуватися пошуком одного універсального симптому. Воно передбачає комплексне вивчення розвитку дитини, особливостей її поведінки, способів комунікації, взаємодії з дорослими й однолітками, характеру ігрової діяльності та адаптації до повсякденних ситуацій.</w:t>
      </w:r>
    </w:p>
    <w:p w14:paraId="620C1F3F" w14:textId="3FC57338"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Особливе значення раннього виявлення пов</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язане з інтенсивністю розвитку нервової системи в перші роки життя. У цей період активно формуються механізми соціального пізнання, наслідування, спільної уваги, мовленнєвого сприймання, символічної діяльності та довільної регуляції поведінки. Вчасне визначення особливостей розвитку дозволяє організувати підтримку відповідно до актуальних можливостей дитини, не очікуючи, поки труднощі стануть стійкими або істотно обмежать її участь у соціальному житті.</w:t>
      </w:r>
    </w:p>
    <w:p w14:paraId="0617AC9A"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раннє виявлення РАС не слід ототожнювати з раннім встановленням остаточного діагнозу. У практиці необхідно розрізняти три взаємопов'язані процеси: виявлення ознак можливих порушень розвитку, клінічне діагностування та функціональне оцінювання потреб дитини.</w:t>
      </w:r>
    </w:p>
    <w:p w14:paraId="554534F5"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Виявлення ознак ризику передбачає спостереження за розвитком дитини, аналіз інформації від батьків, використання стандартизованих </w:t>
      </w:r>
      <w:proofErr w:type="spellStart"/>
      <w:r w:rsidRPr="00052C82">
        <w:rPr>
          <w:rFonts w:ascii="Times New Roman" w:eastAsia="Times New Roman" w:hAnsi="Times New Roman" w:cs="Times New Roman"/>
          <w:sz w:val="24"/>
          <w:szCs w:val="24"/>
          <w:lang w:eastAsia="uk-UA"/>
        </w:rPr>
        <w:t>скринінгових</w:t>
      </w:r>
      <w:proofErr w:type="spellEnd"/>
      <w:r w:rsidRPr="00052C82">
        <w:rPr>
          <w:rFonts w:ascii="Times New Roman" w:eastAsia="Times New Roman" w:hAnsi="Times New Roman" w:cs="Times New Roman"/>
          <w:sz w:val="24"/>
          <w:szCs w:val="24"/>
          <w:lang w:eastAsia="uk-UA"/>
        </w:rPr>
        <w:t xml:space="preserve"> інструментів і визначення необхідності поглибленого обстеження.</w:t>
      </w:r>
    </w:p>
    <w:p w14:paraId="5B0D90DD"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Клінічне діагностування спрямоване на встановлення відповідності особливостей розвитку дитини визначеним діагностичним критеріям. Воно здійснюється кваліфікованими медичними фахівцями з урахуванням анамнезу, безпосереднього спостереження, результатів оцінювання та диференційної діагностики.</w:t>
      </w:r>
    </w:p>
    <w:p w14:paraId="327B63C6"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Функціональне оцінювання має на меті визначення того, як дитина спілкується, навчається, грається, взаємодіє з оточенням, виконує повсякденні дії та яких видів підтримки потребує. Саме результати такого оцінювання становлять основу для планування психолого-педагогічного супроводу та логопедичної допомоги.</w:t>
      </w:r>
    </w:p>
    <w:p w14:paraId="42AF7593"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майбутнього вчителя-логопеда принципово важливо усвідомлювати, що наявність або відсутність клінічного діагнозу не повинна бути єдиним критерієм організації допомоги. Якщо дитина має виражені труднощі комунікації, обмежені можливості мовленнєвої взаємодії чи недостатньо сформовані передумови мовлення, відповідна підтримка має розпочинатися на підставі виявлених потреб.</w:t>
      </w:r>
    </w:p>
    <w:p w14:paraId="603E6FA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Раннє виявлення РАС також має важливий сімейно-орієнтований аспект. Батьки нерідко першими помічають незвичні особливості поведінки або розвитку своєї дитини, однак не завжди можуть правильно інтерпретувати їх. Завдання фахівця полягає не у формуванні тривожних очікувань, а в професійному поясненні результатів спостереження, визначенні подальших кроків та залученні родини до процесу підтримки.</w:t>
      </w:r>
    </w:p>
    <w:p w14:paraId="564E3F0B"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Таким чином, раннє виявлення РАС є початковою ланкою комплексної системи допомоги, яка поєднує медичні, психологічні, педагогічні, логопедичні та соціальні заходи. Його результативність визначається не лише своєчасністю встановлення діагнозу, а передусім можливістю забезпечити дитині доступ до необхідної підтримки та сприятливого розвивального середовища.</w:t>
      </w:r>
    </w:p>
    <w:p w14:paraId="12D57FFC"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2. Ранні ознаки розладів аутистичного спектра у дітей</w:t>
      </w:r>
    </w:p>
    <w:p w14:paraId="239BAB1C"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Ранні прояви РАС характеризуються значною індивідуальною варіативністю. У частини дітей особливості соціальної взаємодії та комунікації стають помітними вже протягом першого року життя. В інших випадках відмінності розвитку виразніше проявляються на другому або третьому році, коли зростають вимоги до спільної уваги, мовленнєвої взаємодії, символічної гри та соціальної поведінки.</w:t>
      </w:r>
    </w:p>
    <w:p w14:paraId="26000C5E"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Необхідно враховувати, що окремі поведінкові особливості не є специфічними виключно для аутизму. Наприклад, затримка появи перших слів може спостерігатися при порушеннях слуху, розладах розвитку мовлення, інтелектуальних порушеннях та інших станах. Тому підставою для поглибленого оцінювання є не ізольований симптом, а характерне поєднання ознак, їхня стійкість і вплив на розвиток та повсякденне функціонування дитини.</w:t>
      </w:r>
    </w:p>
    <w:p w14:paraId="6AE738A7"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Особливості розвитку протягом першого року життя</w:t>
      </w:r>
    </w:p>
    <w:p w14:paraId="43755BF3"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немовлячому віці особливу увагу приділяють формуванню ранніх механізмів соціальної взаємодії. Типовий розвиток передбачає поступове виникнення соціальної усмішки, зацікавленості обличчям і голосом дорослого, емоційного обміну, вокалізацій у відповідь на звернення та здатності координувати увагу між людиною й предметом.</w:t>
      </w:r>
    </w:p>
    <w:p w14:paraId="085547BB"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у яких згодом діагностують РАС, можуть спостерігатися знижена частота соціально спрямованих реакцій, обмежена взаємність емоційного контакту, нетиповий розвиток вокалізацій або недостатня узгодженість погляду, міміки й рухових реакцій у процесі спілкування. Однак у цьому віці прояви можуть бути малопомітними, а їхня відсутність не виключає подальшого виявлення РАС.</w:t>
      </w:r>
    </w:p>
    <w:p w14:paraId="4AAD8B3A"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Важливим показником є розвиток орієнтування на соціальні стимули. Дитина поступово вчиться розпізнавати знайомі голоси, реагувати на емоційні інтонації, підтримувати елементарний обмін звуками та мімікою. У разі труднощів соціальної комунікації такі реакції можуть бути менш вираженими, непослідовними або виникати переважно в окремих ситуаціях.</w:t>
      </w:r>
    </w:p>
    <w:p w14:paraId="7EC3160B" w14:textId="7D2689C2"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Водночас не можна робити висновок про аутизм лише на підставі того, що немовля </w:t>
      </w:r>
      <w:proofErr w:type="spellStart"/>
      <w:r w:rsidRPr="00052C82">
        <w:rPr>
          <w:rFonts w:ascii="Times New Roman" w:eastAsia="Times New Roman" w:hAnsi="Times New Roman" w:cs="Times New Roman"/>
          <w:sz w:val="24"/>
          <w:szCs w:val="24"/>
          <w:lang w:eastAsia="uk-UA"/>
        </w:rPr>
        <w:t>рідко</w:t>
      </w:r>
      <w:proofErr w:type="spellEnd"/>
      <w:r w:rsidRPr="00052C82">
        <w:rPr>
          <w:rFonts w:ascii="Times New Roman" w:eastAsia="Times New Roman" w:hAnsi="Times New Roman" w:cs="Times New Roman"/>
          <w:sz w:val="24"/>
          <w:szCs w:val="24"/>
          <w:lang w:eastAsia="uk-UA"/>
        </w:rPr>
        <w:t xml:space="preserve"> дивиться в очі або не завжди реагує на голос. Такі особливості потребують аналізу загального стану здоров</w:t>
      </w:r>
      <w:r w:rsidR="00D05728"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 сенсорного розвитку, умов взаємодії та вікових можливостей дитини.</w:t>
      </w:r>
    </w:p>
    <w:p w14:paraId="1D31AC5E"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Ранні ознаки у віці від одного до двох років</w:t>
      </w:r>
    </w:p>
    <w:p w14:paraId="15AE5C1B"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Другий рік життя є особливо важливим для виявлення ознак РАС, оскільки саме в цей період </w:t>
      </w:r>
      <w:proofErr w:type="spellStart"/>
      <w:r w:rsidRPr="00052C82">
        <w:rPr>
          <w:rFonts w:ascii="Times New Roman" w:eastAsia="Times New Roman" w:hAnsi="Times New Roman" w:cs="Times New Roman"/>
          <w:sz w:val="24"/>
          <w:szCs w:val="24"/>
          <w:lang w:eastAsia="uk-UA"/>
        </w:rPr>
        <w:t>інтенсивно</w:t>
      </w:r>
      <w:proofErr w:type="spellEnd"/>
      <w:r w:rsidRPr="00052C82">
        <w:rPr>
          <w:rFonts w:ascii="Times New Roman" w:eastAsia="Times New Roman" w:hAnsi="Times New Roman" w:cs="Times New Roman"/>
          <w:sz w:val="24"/>
          <w:szCs w:val="24"/>
          <w:lang w:eastAsia="uk-UA"/>
        </w:rPr>
        <w:t xml:space="preserve"> формуються спільна увага, вказівний жест, наслідування, предметна діяльність і перші мовленнєві засоби комунікації.</w:t>
      </w:r>
    </w:p>
    <w:p w14:paraId="5D1035FF" w14:textId="7711A065"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Однією з найбільш інформативних сфер спостереження є спільна увага </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здатність дитини координувати власну увагу з увагою іншої людини щодо певного предмета або події.</w:t>
      </w:r>
    </w:p>
    <w:p w14:paraId="51F46EB2"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Наприклад, дитина помічає незвичну іграшку, дивиться на неї, потім переводить погляд на дорослого, ніби запрошуючи його розділити зацікавленість. Така поведінка свідчить не лише про інтерес до предмета, а й про прагнення до соціального обміну враженнями.</w:t>
      </w:r>
    </w:p>
    <w:p w14:paraId="2947948F"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У дітей з РАС можуть спостерігатися труднощі ініціювання спільної уваги. Дитина здатна самостійно маніпулювати іграшкою, але </w:t>
      </w:r>
      <w:proofErr w:type="spellStart"/>
      <w:r w:rsidRPr="00052C82">
        <w:rPr>
          <w:rFonts w:ascii="Times New Roman" w:eastAsia="Times New Roman" w:hAnsi="Times New Roman" w:cs="Times New Roman"/>
          <w:sz w:val="24"/>
          <w:szCs w:val="24"/>
          <w:lang w:eastAsia="uk-UA"/>
        </w:rPr>
        <w:t>рідко</w:t>
      </w:r>
      <w:proofErr w:type="spellEnd"/>
      <w:r w:rsidRPr="00052C82">
        <w:rPr>
          <w:rFonts w:ascii="Times New Roman" w:eastAsia="Times New Roman" w:hAnsi="Times New Roman" w:cs="Times New Roman"/>
          <w:sz w:val="24"/>
          <w:szCs w:val="24"/>
          <w:lang w:eastAsia="uk-UA"/>
        </w:rPr>
        <w:t xml:space="preserve"> демонструє її дорослому з метою розділити позитивні емоції. Вона може звертатися до дорослого для отримання бажаного предмета, проте значно рідше використовувати погляд, жест або вокалізацію для привернення уваги до цікавої події.</w:t>
      </w:r>
    </w:p>
    <w:p w14:paraId="3A1AE906"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 розрізняти імперативну та декларативну функції комунікації. Імперативна функція спрямована на отримання предмета, допомоги або бажаної дії. Декларативна передбачає привернення уваги іншої людини для обміну враженнями, емоціями чи інформацією. У дітей з РАС декларативні форми комунікації нерідко виявляються недостатньо сформованими.</w:t>
      </w:r>
    </w:p>
    <w:p w14:paraId="356A5210" w14:textId="6894D56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Ще одним важливим показником є реакція на власне ім</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 У деяких дітей з РАС спостерігається непослідовне реагування на звернення, навіть за умови збереженого слуху. Проте така особливість не є самостійною підставою для встановлення діагнозу й обов'язково потребує перевірки слухової функції.</w:t>
      </w:r>
    </w:p>
    <w:p w14:paraId="4ADB0335"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цьому віці також можуть привертати увагу обмежене використання жестів, недостатня кількість соціально спрямованих вокалізацій, труднощі наслідування простих дій, незвичні способи дослідження предметів, повторювані рухи або надмірна зосередженість на окремих властивостях іграшок.</w:t>
      </w:r>
    </w:p>
    <w:p w14:paraId="4F16E876"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Особливості розвитку у віці від двох до трьох років</w:t>
      </w:r>
    </w:p>
    <w:p w14:paraId="3CE0D966"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Упродовж третього року життя типовий розвиток характеризується активним розширенням словника, появою фразового мовлення, ускладненням предметної та сюжетно-рольової гри, розвитком взаємодії з однолітками.</w:t>
      </w:r>
    </w:p>
    <w:p w14:paraId="1900F26D"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можуть спостерігатися суттєві відмінності темпів і характеру мовленнєвого розвитку. Частина дітей не використовує усного мовлення або має обмежений словниковий запас. Інші можуть володіти значною кількістю слів, називати букви, цифри, предмети, відтворювати фрази з мультфільмів, однак відчувати труднощі в застосуванні цих мовленнєвих засобів для повсякденної взаємодії.</w:t>
      </w:r>
    </w:p>
    <w:p w14:paraId="5461074E"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Особливої уваги потребує функціональність мовлення. Дитина може правильно називати зображення тварин, кольори або геометричні фігури, але не звертатися по допомогу, не повідомляти про власні потреби та не підтримувати найпростішого діалогу. У такому випадку кількісний словниковий запас не відображає повною мірою стан сформованості комунікативної компетентності.</w:t>
      </w:r>
    </w:p>
    <w:p w14:paraId="29620EA8" w14:textId="1617D50C"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Серед характерних особливостей мовлення можуть спостерігатися ехолалії </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повторення почутих слів або висловлювань. Розрізняють безпосередню ехолалію, коли дитина повторює висловлювання одразу після його сприймання, та </w:t>
      </w:r>
      <w:proofErr w:type="spellStart"/>
      <w:r w:rsidRPr="00052C82">
        <w:rPr>
          <w:rFonts w:ascii="Times New Roman" w:eastAsia="Times New Roman" w:hAnsi="Times New Roman" w:cs="Times New Roman"/>
          <w:sz w:val="24"/>
          <w:szCs w:val="24"/>
          <w:lang w:eastAsia="uk-UA"/>
        </w:rPr>
        <w:t>відтерміновану</w:t>
      </w:r>
      <w:proofErr w:type="spellEnd"/>
      <w:r w:rsidRPr="00052C82">
        <w:rPr>
          <w:rFonts w:ascii="Times New Roman" w:eastAsia="Times New Roman" w:hAnsi="Times New Roman" w:cs="Times New Roman"/>
          <w:sz w:val="24"/>
          <w:szCs w:val="24"/>
          <w:lang w:eastAsia="uk-UA"/>
        </w:rPr>
        <w:t>, коли відтворення відбувається через певний час.</w:t>
      </w:r>
    </w:p>
    <w:p w14:paraId="31D91C46"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Сучасний підхід передбачає аналіз не лише форми </w:t>
      </w:r>
      <w:proofErr w:type="spellStart"/>
      <w:r w:rsidRPr="00052C82">
        <w:rPr>
          <w:rFonts w:ascii="Times New Roman" w:eastAsia="Times New Roman" w:hAnsi="Times New Roman" w:cs="Times New Roman"/>
          <w:sz w:val="24"/>
          <w:szCs w:val="24"/>
          <w:lang w:eastAsia="uk-UA"/>
        </w:rPr>
        <w:t>ехолалічного</w:t>
      </w:r>
      <w:proofErr w:type="spellEnd"/>
      <w:r w:rsidRPr="00052C82">
        <w:rPr>
          <w:rFonts w:ascii="Times New Roman" w:eastAsia="Times New Roman" w:hAnsi="Times New Roman" w:cs="Times New Roman"/>
          <w:sz w:val="24"/>
          <w:szCs w:val="24"/>
          <w:lang w:eastAsia="uk-UA"/>
        </w:rPr>
        <w:t xml:space="preserve"> висловлювання, а й його можливої комунікативної функції. Повторення може бути способом саморегуляції, підтримання взаємодії, вираження бажання або відтворення засвоєного мовленнєвого сценарію. Водночас не кожна ехолалія має встановлену комунікативну мету, тому її значення визначається в конкретному контексті.</w:t>
      </w:r>
    </w:p>
    <w:p w14:paraId="711E69B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сфері ігрової діяльності можуть спостерігатися переважання повторюваних маніпуляцій, обмеженість символічної гри, зосередження на частинах предметів, труднощі зміни звичних ігрових сценаріїв. Наприклад, дитина може тривалий час обертати колеса іграшкового автомобіля, але не використовувати його для моделювання ситуації перевезення пасажирів.</w:t>
      </w:r>
    </w:p>
    <w:p w14:paraId="36CA8BD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Однак повторювана гра сама по собі не є достатнім діагностичним критерієм. Важливо оцінювати її різноманітність, гнучкість, відповідність віку та поєднання з іншими особливостями розвитку.</w:t>
      </w:r>
    </w:p>
    <w:p w14:paraId="13638269"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Ознаки РАС у дошкільному віці</w:t>
      </w:r>
    </w:p>
    <w:p w14:paraId="6B8EBEAC" w14:textId="77777777" w:rsidR="00052C82" w:rsidRPr="00052C82" w:rsidRDefault="00052C82" w:rsidP="00052C82">
      <w:pPr>
        <w:spacing w:before="100" w:beforeAutospacing="1" w:after="100" w:afterAutospacing="1"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У дошкільному віці відмінності розвитку часто стають помітнішими в ситуаціях групової взаємодії. Дитина може відчувати труднощі під час спільної гри, узгодження правил, розуміння намірів інших дітей, підтримання діалогу або пристосування до змін у звичному розпорядку.</w:t>
      </w:r>
    </w:p>
    <w:p w14:paraId="5E35C61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соціальна зацікавленість у дітей з РАС може бути різною. Деякі діти активно прагнуть контакту, але не завжди володіють ефективними способами його встановлення. Інші віддають перевагу індивідуальній діяльності або потребують більшої кількості часу для включення у взаємодію.</w:t>
      </w:r>
    </w:p>
    <w:p w14:paraId="4FFD5910"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частини дітей проявляються особливості сенсорного реагування: підвищена чутливість до певних звуків, дотиків, запахів або освітлення; знижена реакція на окремі подразники; інтенсивний пошук рухових, тактильних чи зорових відчуттів. Такі особливості можуть суттєво впливати на поведінку в закладі дошкільної освіти.</w:t>
      </w:r>
    </w:p>
    <w:p w14:paraId="454EAC8E" w14:textId="051C5E2F"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яка закриває вуха під час музичного заняття, не обов</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язково демонструє небажання брати участь у колективній діяльності. Причиною може бути надмірне сенсорне навантаження. У цьому випадку педагогічно доцільною є адаптація умов заняття, а не вимога безумовного виконання загальних правил.</w:t>
      </w:r>
    </w:p>
    <w:p w14:paraId="763E9315"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Окремої уваги потребують випадки втрати раніше сформованих навичок. У деяких дітей з РАС батьки повідомляють про зменшення кількості слів, втрату окремих комунікативних реакцій або зміну характеру соціальної взаємодії. Такі прояви вимагають своєчасного медичного оцінювання, оскільки регрес розвитку може бути пов'язаний не лише з аутизмом, а й з іншими неврологічними або медичними станами.</w:t>
      </w:r>
    </w:p>
    <w:p w14:paraId="599D821D"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Отже, ранні ознаки РАС доцільно аналізувати за сукупністю показників соціальної взаємодії, комунікації, гри, сенсорного реагування та поведінкової гнучкості. Жодна окрема ознака не повинна використовуватися як універсальний доказ наявності або відсутності аутизму.</w:t>
      </w:r>
    </w:p>
    <w:p w14:paraId="0A958B8C"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3. Скринінгові методики виявлення ризику РАС: можливості та обмеження</w:t>
      </w:r>
    </w:p>
    <w:p w14:paraId="26173AC0"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Одним із провідних напрямів сучасної практики раннього виявлення аутизму є застосування стандартизованих </w:t>
      </w:r>
      <w:proofErr w:type="spellStart"/>
      <w:r w:rsidRPr="00052C82">
        <w:rPr>
          <w:rFonts w:ascii="Times New Roman" w:eastAsia="Times New Roman" w:hAnsi="Times New Roman" w:cs="Times New Roman"/>
          <w:sz w:val="24"/>
          <w:szCs w:val="24"/>
          <w:lang w:eastAsia="uk-UA"/>
        </w:rPr>
        <w:t>скринінгових</w:t>
      </w:r>
      <w:proofErr w:type="spellEnd"/>
      <w:r w:rsidRPr="00052C82">
        <w:rPr>
          <w:rFonts w:ascii="Times New Roman" w:eastAsia="Times New Roman" w:hAnsi="Times New Roman" w:cs="Times New Roman"/>
          <w:sz w:val="24"/>
          <w:szCs w:val="24"/>
          <w:lang w:eastAsia="uk-UA"/>
        </w:rPr>
        <w:t xml:space="preserve"> методик. Скринінг становить процедуру попереднього оцінювання, спрямовану на виявлення дітей, у яких існує підвищена ймовірність певних порушень розвитку та які потребують подальшого поглибленого обстеження.</w:t>
      </w:r>
    </w:p>
    <w:p w14:paraId="643596C3" w14:textId="6389F75B"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Принципова відмінність скринінгу від діагностики полягає в тому, що </w:t>
      </w:r>
      <w:proofErr w:type="spellStart"/>
      <w:r w:rsidRPr="00052C82">
        <w:rPr>
          <w:rFonts w:ascii="Times New Roman" w:eastAsia="Times New Roman" w:hAnsi="Times New Roman" w:cs="Times New Roman"/>
          <w:sz w:val="24"/>
          <w:szCs w:val="24"/>
          <w:lang w:eastAsia="uk-UA"/>
        </w:rPr>
        <w:t>скринінговий</w:t>
      </w:r>
      <w:proofErr w:type="spellEnd"/>
      <w:r w:rsidRPr="00052C82">
        <w:rPr>
          <w:rFonts w:ascii="Times New Roman" w:eastAsia="Times New Roman" w:hAnsi="Times New Roman" w:cs="Times New Roman"/>
          <w:sz w:val="24"/>
          <w:szCs w:val="24"/>
          <w:lang w:eastAsia="uk-UA"/>
        </w:rPr>
        <w:t xml:space="preserve"> інструмент не встановлює клінічного діагнозу. Його призначення </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визначити доцільність подальшого оцінювання, а не підтвердити чи спростувати наявність РАС.</w:t>
      </w:r>
    </w:p>
    <w:p w14:paraId="76E5ADD3" w14:textId="32DACB11"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У міжнародній практиці скринінг розглядається як складова систематичного спостереження за розвитком дитини. Американська академія педіатрії рекомендує проводити специфічний скринінг на РАС у віці 18 та 24 місяців, а загальний скринінг розвитку </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у 9, 18 і 30 місяців. За наявності занепокоєнь щодо розвитку оцінювання здійснюється додатково, незалежно від планових вікових термінів. </w:t>
      </w:r>
    </w:p>
    <w:p w14:paraId="644A6293"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217E7242" wp14:editId="0AF219E2">
            <wp:extent cx="304800" cy="304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4B48309"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CDC</w:t>
      </w:r>
    </w:p>
    <w:p w14:paraId="6C13BDBE"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+1</w:t>
      </w:r>
    </w:p>
    <w:p w14:paraId="4C631B2F" w14:textId="57A72194"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Зазначені рекомендації відображають міжнародний клінічний підхід і не повинні автоматично ототожнюватися з обов</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язковим національним порядком медичних оглядів в Україні.</w:t>
      </w:r>
    </w:p>
    <w:p w14:paraId="1116A8FA" w14:textId="77777777" w:rsidR="00052C82" w:rsidRPr="00052C82" w:rsidRDefault="00052C82" w:rsidP="00052C82">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Методика M-CHAT-R/F</w:t>
      </w:r>
    </w:p>
    <w:p w14:paraId="2D5D3C90" w14:textId="19671D41"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Одним із найпоширеніших інструментів раннього скринінгу РАС є </w:t>
      </w:r>
      <w:proofErr w:type="spellStart"/>
      <w:r w:rsidRPr="00052C82">
        <w:rPr>
          <w:rFonts w:ascii="Times New Roman" w:eastAsia="Times New Roman" w:hAnsi="Times New Roman" w:cs="Times New Roman"/>
          <w:sz w:val="24"/>
          <w:szCs w:val="24"/>
          <w:lang w:eastAsia="uk-UA"/>
        </w:rPr>
        <w:t>Modified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Checklist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Toddlers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Revised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with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Follow-Up</w:t>
      </w:r>
      <w:proofErr w:type="spellEnd"/>
      <w:r w:rsidRPr="00052C82">
        <w:rPr>
          <w:rFonts w:ascii="Times New Roman" w:eastAsia="Times New Roman" w:hAnsi="Times New Roman" w:cs="Times New Roman"/>
          <w:sz w:val="24"/>
          <w:szCs w:val="24"/>
          <w:lang w:eastAsia="uk-UA"/>
        </w:rPr>
        <w:t xml:space="preserve"> </w:t>
      </w:r>
      <w:r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модифікований контрольний перелік ознак аутизму в дітей раннього віку з уточнювальним інтерв</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ю (M-CHAT-R/F).</w:t>
      </w:r>
    </w:p>
    <w:p w14:paraId="6CE92D9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Методика призначена для оцінювання дітей віком від 16 до 30 місяців. Вона містить 20 запитань, на які відповідають батьки або особи, що постійно доглядають за дитиною. Запитання стосуються соціальної взаємодії, комунікативних реакцій, спільної уваги, наслідування та окремих поведінкових особливостей.</w:t>
      </w:r>
    </w:p>
    <w:p w14:paraId="4885D191" w14:textId="25CBD93F"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Важливою характеристикою M-CHAT-R/F є двоетапна процедура оцінювання. Перший етап передбачає заповнення опитувальника. За результатами первинного оцінювання </w:t>
      </w:r>
      <w:r w:rsidRPr="00052C82">
        <w:rPr>
          <w:rFonts w:ascii="Times New Roman" w:eastAsia="Times New Roman" w:hAnsi="Times New Roman" w:cs="Times New Roman"/>
          <w:sz w:val="24"/>
          <w:szCs w:val="24"/>
          <w:lang w:eastAsia="uk-UA"/>
        </w:rPr>
        <w:lastRenderedPageBreak/>
        <w:t xml:space="preserve">визначається рівень ризику, а в разі необхідності проводиться другий етап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структуроване уточнювальне інтерв</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ю.</w:t>
      </w:r>
    </w:p>
    <w:p w14:paraId="50C58303" w14:textId="25E772CE"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За стандартним алгоритмом результати первинного опитування інтерпретуються таким чином: 0–2 бали відповідають низькому ризику, 3–7 балів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помірному ризику, 8–20 балів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високому ризику. Для дітей молодших за 24 місяці з низьким результатом передбачене повторне оцінювання після досягнення дворічного віку, а за наявності інших ознак занепокоєння направлення можливе незалежно від </w:t>
      </w:r>
      <w:proofErr w:type="spellStart"/>
      <w:r w:rsidRPr="00052C82">
        <w:rPr>
          <w:rFonts w:ascii="Times New Roman" w:eastAsia="Times New Roman" w:hAnsi="Times New Roman" w:cs="Times New Roman"/>
          <w:sz w:val="24"/>
          <w:szCs w:val="24"/>
          <w:lang w:eastAsia="uk-UA"/>
        </w:rPr>
        <w:t>бала</w:t>
      </w:r>
      <w:proofErr w:type="spellEnd"/>
      <w:r w:rsidRPr="00052C82">
        <w:rPr>
          <w:rFonts w:ascii="Times New Roman" w:eastAsia="Times New Roman" w:hAnsi="Times New Roman" w:cs="Times New Roman"/>
          <w:sz w:val="24"/>
          <w:szCs w:val="24"/>
          <w:lang w:eastAsia="uk-UA"/>
        </w:rPr>
        <w:t>. За помірного ризику застосовують уточнювальне інтерв'ю. За високого ризику рекомендоване направлення на комплексне оцінювання без необхідності проходження другого етапу.</w:t>
      </w:r>
    </w:p>
    <w:p w14:paraId="443FF40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Перевагами M-CHAT-R/F є відносна простота застосування, невеликі часові витрати, залучення батьків до оцінювання та можливість використання в умовах первинної медичної допомоги.</w:t>
      </w:r>
    </w:p>
    <w:p w14:paraId="6481F75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методика має низку обмежень. По-перше, відповіді батьків можуть залежати від їхнього розуміння запитань, досвіду спостереження за дитиною та особливостей сімейного середовища. По-друге, позитивний результат не є доказом наявності аутизму, оскільки подібні прояви можуть спостерігатися за інших порушень розвитку. По-третє, негативний результат не виключає РАС, особливо якщо клінічні або педагогічні спостереження вказують на стійкі труднощі соціальної комунікації.</w:t>
      </w:r>
    </w:p>
    <w:p w14:paraId="68FA273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Застосування перекладених версій опитувальника потребує дотримання авторизованої процедури перекладу, культурної адаптації та правил інтерпретації. Довільна зміна формулювань запитань або порогових значень може суттєво знизити достовірність результатів.</w:t>
      </w:r>
    </w:p>
    <w:p w14:paraId="5FBFFAD7"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Методика CSBS DP</w:t>
      </w:r>
    </w:p>
    <w:p w14:paraId="63070656" w14:textId="2E2A641F"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Communication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Symbolic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Behavior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Scales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Developmental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Profile</w:t>
      </w:r>
      <w:proofErr w:type="spellEnd"/>
      <w:r w:rsidRPr="00052C82">
        <w:rPr>
          <w:rFonts w:ascii="Times New Roman" w:eastAsia="Times New Roman" w:hAnsi="Times New Roman" w:cs="Times New Roman"/>
          <w:sz w:val="24"/>
          <w:szCs w:val="24"/>
          <w:lang w:eastAsia="uk-UA"/>
        </w:rPr>
        <w:t xml:space="preserve"> (CSBS DP)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інструмент оцінювання раннього комунікативного та символічного розвитку дітей. Особливу увагу в ньому приділено соціальній комунікації, використанню жестів, вокалізаціям, розумінню мовлення, предметній та символічній діяльності.</w:t>
      </w:r>
    </w:p>
    <w:p w14:paraId="1F8AF13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Методика має важливе значення для логопедичної практики, оскільки дозволяє звернути увагу на передумови мовленнєвого розвитку ще до появи розгорнутого усного мовлення.</w:t>
      </w:r>
    </w:p>
    <w:p w14:paraId="30550BB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 відміну від інструментів, орієнтованих виключно на ризик аутизму, CSBS DP може бути корисною для ширшого виявлення труднощів соціально-комунікативного розвитку. Проте вона не є самостійним засобом встановлення діагнозу РАС.</w:t>
      </w:r>
    </w:p>
    <w:p w14:paraId="49AE8C65"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Методика STAT</w:t>
      </w:r>
    </w:p>
    <w:p w14:paraId="484CEBA3" w14:textId="2DC49C40"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Screening</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Tool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Toddlers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Young</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Children</w:t>
      </w:r>
      <w:proofErr w:type="spellEnd"/>
      <w:r w:rsidRPr="00052C82">
        <w:rPr>
          <w:rFonts w:ascii="Times New Roman" w:eastAsia="Times New Roman" w:hAnsi="Times New Roman" w:cs="Times New Roman"/>
          <w:sz w:val="24"/>
          <w:szCs w:val="24"/>
          <w:lang w:eastAsia="uk-UA"/>
        </w:rPr>
        <w:t xml:space="preserve"> (STAT)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інтерактивний інструмент скринінгу, що ґрунтується на безпосередньому спостереженні за поведінкою дитини під час спеціально організованих ігрових ситуацій.</w:t>
      </w:r>
    </w:p>
    <w:p w14:paraId="49F8AA1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Оцінювання охоплює такі сфери, як наслідування, гра, комунікативні ініціативи та спільна увага. Методика особливо цікава з позиції спеціальної педагогіки, оскільки дозволяє аналізувати не лише повідомлення батьків, а й реальні способи взаємодії дитини з дорослим.</w:t>
      </w:r>
    </w:p>
    <w:p w14:paraId="63A271C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її застосування потребує спеціальної підготовки фахівця, дотримання стандартизованої процедури та врахування вікових обмежень інструмента.</w:t>
      </w:r>
    </w:p>
    <w:p w14:paraId="69F399F6"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Методика SCQ</w:t>
      </w:r>
    </w:p>
    <w:p w14:paraId="416654D3" w14:textId="222B7202"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Social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Communication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Questionnaire</w:t>
      </w:r>
      <w:proofErr w:type="spellEnd"/>
      <w:r w:rsidRPr="00052C82">
        <w:rPr>
          <w:rFonts w:ascii="Times New Roman" w:eastAsia="Times New Roman" w:hAnsi="Times New Roman" w:cs="Times New Roman"/>
          <w:sz w:val="24"/>
          <w:szCs w:val="24"/>
          <w:lang w:eastAsia="uk-UA"/>
        </w:rPr>
        <w:t xml:space="preserve"> (SCQ)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опитувальник соціальної комунікації, призначений для виявлення особливостей розвитку, пов'язаних із РАС. Його використовують переважно для дітей старшого віку, ніж цільова група M-CHAT-R/F, з урахуванням установлених вимог до віку та розвитку.</w:t>
      </w:r>
    </w:p>
    <w:p w14:paraId="0DD0F00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Опитувальник охоплює соціальну взаємодію, комунікацію та повторювані моделі поведінки. Він може застосовуватися для структурування інформації від батьків, однак не замінює безпосереднього клінічного оцінювання.</w:t>
      </w:r>
    </w:p>
    <w:p w14:paraId="239614EA"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 xml:space="preserve">Психометричні характеристики </w:t>
      </w:r>
      <w:proofErr w:type="spellStart"/>
      <w:r w:rsidRPr="00052C82">
        <w:rPr>
          <w:rFonts w:ascii="Times New Roman" w:eastAsia="Times New Roman" w:hAnsi="Times New Roman" w:cs="Times New Roman"/>
          <w:b/>
          <w:bCs/>
          <w:sz w:val="24"/>
          <w:szCs w:val="24"/>
          <w:lang w:eastAsia="uk-UA"/>
        </w:rPr>
        <w:t>скринінгових</w:t>
      </w:r>
      <w:proofErr w:type="spellEnd"/>
      <w:r w:rsidRPr="00052C82">
        <w:rPr>
          <w:rFonts w:ascii="Times New Roman" w:eastAsia="Times New Roman" w:hAnsi="Times New Roman" w:cs="Times New Roman"/>
          <w:b/>
          <w:bCs/>
          <w:sz w:val="24"/>
          <w:szCs w:val="24"/>
          <w:lang w:eastAsia="uk-UA"/>
        </w:rPr>
        <w:t xml:space="preserve"> методик</w:t>
      </w:r>
    </w:p>
    <w:p w14:paraId="4FAD27F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Магістранти повинні розуміти, що професійне використання будь-якого </w:t>
      </w:r>
      <w:proofErr w:type="spellStart"/>
      <w:r w:rsidRPr="00052C82">
        <w:rPr>
          <w:rFonts w:ascii="Times New Roman" w:eastAsia="Times New Roman" w:hAnsi="Times New Roman" w:cs="Times New Roman"/>
          <w:sz w:val="24"/>
          <w:szCs w:val="24"/>
          <w:lang w:eastAsia="uk-UA"/>
        </w:rPr>
        <w:t>скринінгового</w:t>
      </w:r>
      <w:proofErr w:type="spellEnd"/>
      <w:r w:rsidRPr="00052C82">
        <w:rPr>
          <w:rFonts w:ascii="Times New Roman" w:eastAsia="Times New Roman" w:hAnsi="Times New Roman" w:cs="Times New Roman"/>
          <w:sz w:val="24"/>
          <w:szCs w:val="24"/>
          <w:lang w:eastAsia="uk-UA"/>
        </w:rPr>
        <w:t xml:space="preserve"> інструмента потребує знання його психометричних характеристик.</w:t>
      </w:r>
    </w:p>
    <w:p w14:paraId="40E2986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Чутливість характеризує здатність методики правильно виявляти осіб, які мають відповідний стан. Висока чутливість зменшує ймовірність пропуску дітей, які потребують подальшого обстеження.</w:t>
      </w:r>
    </w:p>
    <w:p w14:paraId="4FFD7C50" w14:textId="77777777" w:rsidR="00052C82" w:rsidRPr="00052C82" w:rsidRDefault="00052C82" w:rsidP="00052C82">
      <w:pPr>
        <w:spacing w:before="100" w:beforeAutospacing="1" w:after="100" w:afterAutospacing="1"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 xml:space="preserve">Специфічність характеризує здатність методики правильно визначати осіб, у яких відповідний стан відсутній. Висока специфічність зменшує кількість </w:t>
      </w:r>
      <w:proofErr w:type="spellStart"/>
      <w:r w:rsidRPr="00052C82">
        <w:rPr>
          <w:rFonts w:ascii="Times New Roman" w:eastAsia="Times New Roman" w:hAnsi="Times New Roman" w:cs="Times New Roman"/>
          <w:sz w:val="24"/>
          <w:szCs w:val="24"/>
          <w:lang w:eastAsia="uk-UA"/>
        </w:rPr>
        <w:t>хибнопозитивних</w:t>
      </w:r>
      <w:proofErr w:type="spellEnd"/>
      <w:r w:rsidRPr="00052C82">
        <w:rPr>
          <w:rFonts w:ascii="Times New Roman" w:eastAsia="Times New Roman" w:hAnsi="Times New Roman" w:cs="Times New Roman"/>
          <w:sz w:val="24"/>
          <w:szCs w:val="24"/>
          <w:lang w:eastAsia="uk-UA"/>
        </w:rPr>
        <w:t xml:space="preserve"> результатів.</w:t>
      </w:r>
    </w:p>
    <w:p w14:paraId="4A96DB2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Позитивна прогностична цінність відображає ймовірність того, що дитина з позитивним результатом скринінгу справді має відповідний стан. Цей показник залежить не лише від характеристик тесту, а й від поширеності стану в обстежуваній групі.</w:t>
      </w:r>
    </w:p>
    <w:p w14:paraId="186376E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Негативна прогностична цінність характеризує ймовірність відсутності стану за негативного результату скринінгу.</w:t>
      </w:r>
    </w:p>
    <w:p w14:paraId="3AD5A48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 менш важливими є надійність, валідність, стандартизація та наявність нормативних показників для відповідної популяції.</w:t>
      </w:r>
    </w:p>
    <w:p w14:paraId="3114DD3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Особливої уваги потребує проблема культурної адаптації діагностичного інструментарію. Методика, розроблена для англомовного середовища, не завжди може безпосередньо використовуватися для оцінювання україномовних дітей. Відмінності у мовленнєвих практиках, особливостях виховання та соціальних очікуваннях можуть впливати на інтерпретацію окремих відповідей.</w:t>
      </w:r>
    </w:p>
    <w:p w14:paraId="0877D749" w14:textId="77777777" w:rsidR="00052C82" w:rsidRPr="00052C82" w:rsidRDefault="00052C82" w:rsidP="00052C82">
      <w:pPr>
        <w:spacing w:before="100" w:beforeAutospacing="1" w:after="100" w:afterAutospacing="1"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Отже, результати скринінгу необхідно розглядати в контексті загального розвитку дитини, інформації від батьків, педагогічних спостережень і результатів інших видів оцінювання. Міжнародні рекомендації NICE прямо застерігають від використання </w:t>
      </w:r>
      <w:proofErr w:type="spellStart"/>
      <w:r w:rsidRPr="00052C82">
        <w:rPr>
          <w:rFonts w:ascii="Times New Roman" w:eastAsia="Times New Roman" w:hAnsi="Times New Roman" w:cs="Times New Roman"/>
          <w:sz w:val="24"/>
          <w:szCs w:val="24"/>
          <w:lang w:eastAsia="uk-UA"/>
        </w:rPr>
        <w:t>скринінгових</w:t>
      </w:r>
      <w:proofErr w:type="spellEnd"/>
      <w:r w:rsidRPr="00052C82">
        <w:rPr>
          <w:rFonts w:ascii="Times New Roman" w:eastAsia="Times New Roman" w:hAnsi="Times New Roman" w:cs="Times New Roman"/>
          <w:sz w:val="24"/>
          <w:szCs w:val="24"/>
          <w:lang w:eastAsia="uk-UA"/>
        </w:rPr>
        <w:t xml:space="preserve"> інструментів як єдиної підстави для встановлення або виключення діагнозу аутизму. </w:t>
      </w:r>
    </w:p>
    <w:p w14:paraId="788ABD7E"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04D7A6A8" wp14:editId="60212D4E">
            <wp:extent cx="304800" cy="304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D9490E4"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NICE</w:t>
      </w:r>
    </w:p>
    <w:p w14:paraId="4787806D"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4. Сучасні діагностичні критерії розладів аутистичного спектра</w:t>
      </w:r>
    </w:p>
    <w:p w14:paraId="3456AA5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Сучасна діагностика РАС ґрунтується на міжнародних класифікаційних системах, серед яких провідне місце посідають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Statistical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Manual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of</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Mental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Fifth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Edition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Text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Revision</w:t>
      </w:r>
      <w:proofErr w:type="spellEnd"/>
      <w:r w:rsidRPr="00052C82">
        <w:rPr>
          <w:rFonts w:ascii="Times New Roman" w:eastAsia="Times New Roman" w:hAnsi="Times New Roman" w:cs="Times New Roman"/>
          <w:sz w:val="24"/>
          <w:szCs w:val="24"/>
          <w:lang w:eastAsia="uk-UA"/>
        </w:rPr>
        <w:t xml:space="preserve"> (DSM-5-TR) та International </w:t>
      </w:r>
      <w:proofErr w:type="spellStart"/>
      <w:r w:rsidRPr="00052C82">
        <w:rPr>
          <w:rFonts w:ascii="Times New Roman" w:eastAsia="Times New Roman" w:hAnsi="Times New Roman" w:cs="Times New Roman"/>
          <w:sz w:val="24"/>
          <w:szCs w:val="24"/>
          <w:lang w:eastAsia="uk-UA"/>
        </w:rPr>
        <w:t>Classification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of</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Diseases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Eleventh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Revision</w:t>
      </w:r>
      <w:proofErr w:type="spellEnd"/>
      <w:r w:rsidRPr="00052C82">
        <w:rPr>
          <w:rFonts w:ascii="Times New Roman" w:eastAsia="Times New Roman" w:hAnsi="Times New Roman" w:cs="Times New Roman"/>
          <w:sz w:val="24"/>
          <w:szCs w:val="24"/>
          <w:lang w:eastAsia="uk-UA"/>
        </w:rPr>
        <w:t xml:space="preserve"> (МКХ-11).</w:t>
      </w:r>
    </w:p>
    <w:p w14:paraId="7BD1B62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Обидві системи розглядають аутизм як </w:t>
      </w:r>
      <w:proofErr w:type="spellStart"/>
      <w:r w:rsidRPr="00052C82">
        <w:rPr>
          <w:rFonts w:ascii="Times New Roman" w:eastAsia="Times New Roman" w:hAnsi="Times New Roman" w:cs="Times New Roman"/>
          <w:sz w:val="24"/>
          <w:szCs w:val="24"/>
          <w:lang w:eastAsia="uk-UA"/>
        </w:rPr>
        <w:t>нейророзвитковий</w:t>
      </w:r>
      <w:proofErr w:type="spellEnd"/>
      <w:r w:rsidRPr="00052C82">
        <w:rPr>
          <w:rFonts w:ascii="Times New Roman" w:eastAsia="Times New Roman" w:hAnsi="Times New Roman" w:cs="Times New Roman"/>
          <w:sz w:val="24"/>
          <w:szCs w:val="24"/>
          <w:lang w:eastAsia="uk-UA"/>
        </w:rPr>
        <w:t xml:space="preserve"> розлад і виходять із необхідності оцінювання двох основних груп проявів: стійких особливостей соціальної комунікації та взаємодії, а також обмежених, повторюваних моделей поведінки, інтересів і діяльності.</w:t>
      </w:r>
    </w:p>
    <w:p w14:paraId="3745DB3F"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Діагностичні критерії DSM-5-TR</w:t>
      </w:r>
    </w:p>
    <w:p w14:paraId="3721CE10" w14:textId="2F037CBA"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До неї належать стереотипні чи повторювані рухи, способи використання предметів або мовлення. Прикладами можуть бути повторювані рухи руками, розташування предметів у певному порядку, повторення окремих висловлювань.</w:t>
      </w:r>
    </w:p>
    <w:p w14:paraId="26EB022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Наступним проявом є наполягання на незмінності, негнучке дотримання звичних послідовностей дій або </w:t>
      </w:r>
      <w:proofErr w:type="spellStart"/>
      <w:r w:rsidRPr="00052C82">
        <w:rPr>
          <w:rFonts w:ascii="Times New Roman" w:eastAsia="Times New Roman" w:hAnsi="Times New Roman" w:cs="Times New Roman"/>
          <w:sz w:val="24"/>
          <w:szCs w:val="24"/>
          <w:lang w:eastAsia="uk-UA"/>
        </w:rPr>
        <w:t>ритуалізовані</w:t>
      </w:r>
      <w:proofErr w:type="spellEnd"/>
      <w:r w:rsidRPr="00052C82">
        <w:rPr>
          <w:rFonts w:ascii="Times New Roman" w:eastAsia="Times New Roman" w:hAnsi="Times New Roman" w:cs="Times New Roman"/>
          <w:sz w:val="24"/>
          <w:szCs w:val="24"/>
          <w:lang w:eastAsia="uk-UA"/>
        </w:rPr>
        <w:t xml:space="preserve"> моделі поведінки. Дитина може відчувати значний дискомфорт у разі зміни маршруту, перестановки предметів або порушення очікуваного порядку подій.</w:t>
      </w:r>
    </w:p>
    <w:p w14:paraId="20BF1AF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Третя </w:t>
      </w:r>
      <w:proofErr w:type="spellStart"/>
      <w:r w:rsidRPr="00052C82">
        <w:rPr>
          <w:rFonts w:ascii="Times New Roman" w:eastAsia="Times New Roman" w:hAnsi="Times New Roman" w:cs="Times New Roman"/>
          <w:sz w:val="24"/>
          <w:szCs w:val="24"/>
          <w:lang w:eastAsia="uk-UA"/>
        </w:rPr>
        <w:t>підсфера</w:t>
      </w:r>
      <w:proofErr w:type="spellEnd"/>
      <w:r w:rsidRPr="00052C82">
        <w:rPr>
          <w:rFonts w:ascii="Times New Roman" w:eastAsia="Times New Roman" w:hAnsi="Times New Roman" w:cs="Times New Roman"/>
          <w:sz w:val="24"/>
          <w:szCs w:val="24"/>
          <w:lang w:eastAsia="uk-UA"/>
        </w:rPr>
        <w:t xml:space="preserve"> охоплює </w:t>
      </w:r>
      <w:proofErr w:type="spellStart"/>
      <w:r w:rsidRPr="00052C82">
        <w:rPr>
          <w:rFonts w:ascii="Times New Roman" w:eastAsia="Times New Roman" w:hAnsi="Times New Roman" w:cs="Times New Roman"/>
          <w:sz w:val="24"/>
          <w:szCs w:val="24"/>
          <w:lang w:eastAsia="uk-UA"/>
        </w:rPr>
        <w:t>вузькоспрямовані</w:t>
      </w:r>
      <w:proofErr w:type="spellEnd"/>
      <w:r w:rsidRPr="00052C82">
        <w:rPr>
          <w:rFonts w:ascii="Times New Roman" w:eastAsia="Times New Roman" w:hAnsi="Times New Roman" w:cs="Times New Roman"/>
          <w:sz w:val="24"/>
          <w:szCs w:val="24"/>
          <w:lang w:eastAsia="uk-UA"/>
        </w:rPr>
        <w:t>, інтенсивні інтереси, які є незвичними за силою зосередження або характером.</w:t>
      </w:r>
    </w:p>
    <w:p w14:paraId="5E7A4C6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Четверта стосується підвищеної чи зниженої реактивності на сенсорні подразники або незвичного інтересу до сенсорних характеристик навколишнього середовища.</w:t>
      </w:r>
    </w:p>
    <w:p w14:paraId="14D2AB2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Для відповідності цій групі критеріїв необхідна наявність щонайменше двох із чотирьох зазначених </w:t>
      </w:r>
      <w:proofErr w:type="spellStart"/>
      <w:r w:rsidRPr="00052C82">
        <w:rPr>
          <w:rFonts w:ascii="Times New Roman" w:eastAsia="Times New Roman" w:hAnsi="Times New Roman" w:cs="Times New Roman"/>
          <w:sz w:val="24"/>
          <w:szCs w:val="24"/>
          <w:lang w:eastAsia="uk-UA"/>
        </w:rPr>
        <w:t>підсфер</w:t>
      </w:r>
      <w:proofErr w:type="spellEnd"/>
      <w:r w:rsidRPr="00052C82">
        <w:rPr>
          <w:rFonts w:ascii="Times New Roman" w:eastAsia="Times New Roman" w:hAnsi="Times New Roman" w:cs="Times New Roman"/>
          <w:sz w:val="24"/>
          <w:szCs w:val="24"/>
          <w:lang w:eastAsia="uk-UA"/>
        </w:rPr>
        <w:t>.</w:t>
      </w:r>
    </w:p>
    <w:p w14:paraId="70FC711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Крім того, DSM-5-TR передбачає, що прояви мають бути присутніми в ранньому періоді розвитку, хоча вони можуть стати повністю помітними пізніше, коли соціальні вимоги перевищують наявні можливості дитини.</w:t>
      </w:r>
    </w:p>
    <w:p w14:paraId="1F8BB0F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Особливості розвитку повинні спричиняти клінічно значущі труднощі функціонування, а їх не можна повністю пояснити лише інтелектуальним порушенням або загальною затримкою розвитку. Водночас РАС та інтелектуальні порушення можуть співіснувати.</w:t>
      </w:r>
    </w:p>
    <w:p w14:paraId="4D0FAD8B"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Особливості класифікації РАС за МКХ-11</w:t>
      </w:r>
    </w:p>
    <w:p w14:paraId="6D819CD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У МКХ-11 розлади аутистичного спектра представлені категорією 6A02. Система передбачає уточнення наявності супутнього розладу інтелектуального розвитку та рівня функціонального мовлення.</w:t>
      </w:r>
    </w:p>
    <w:p w14:paraId="206ABAC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Такий підхід має особливе значення для логопедичної практики, оскільки дозволяє враховувати неоднорідність мовленнєвого розвитку дітей з РАС.</w:t>
      </w:r>
    </w:p>
    <w:p w14:paraId="398D041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МКХ-11 розрізняє варіанти РАС без порушення інтелектуального розвитку та з таким порушенням, а також із незначним або відсутнім порушенням функціонального мовлення, з порушенням функціонального мовлення чи його практично повною відсутністю. Окремо передбачено уточнення наявності або відсутності втрати раніше набутих навичок. </w:t>
      </w:r>
    </w:p>
    <w:p w14:paraId="71E2DA57"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73D404F7" wp14:editId="27CF6CB2">
            <wp:extent cx="152400" cy="152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6DF42B4"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Iris</w:t>
      </w:r>
      <w:proofErr w:type="spellEnd"/>
    </w:p>
    <w:p w14:paraId="5E0EBA0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Поняття функціонального мовлення не слід ототожнювати з кількістю слів, які дитина здатна вимовити. Воно відображає можливість використовувати мовлення для реального спілкування та задоволення повсякденних комунікативних потреб.</w:t>
      </w:r>
    </w:p>
    <w:p w14:paraId="7604433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правильно відтворювати значну кількість завчених висловлювань, але не використовувати їх для повідомлення про біль, прохання про допомогу чи обміну інформацією. В іншої дитини словниковий запас може бути відносно невеликим, однак вона ефективно застосовує його для спілкування.</w:t>
      </w:r>
    </w:p>
    <w:p w14:paraId="1C935B3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функціональне мовлення в класифікаційному розумінні та функціональна комунікація в логопедичному розумінні не є тотожними поняттями. Функціональна комунікація може здійснюватися не лише усним мовленням, а й жестами, символами, комунікативними картками або електронними засобами АДК.</w:t>
      </w:r>
    </w:p>
    <w:p w14:paraId="5C1E21EB"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Стандартизовані діагностичні інструменти</w:t>
      </w:r>
    </w:p>
    <w:p w14:paraId="0B081A4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У комплексному оцінюванні РАС можуть застосовуватися спеціалізовані стандартизовані інструменти, зокрема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Observation</w:t>
      </w:r>
      <w:proofErr w:type="spellEnd"/>
      <w:r w:rsidRPr="00052C82">
        <w:rPr>
          <w:rFonts w:ascii="Times New Roman" w:eastAsia="Times New Roman" w:hAnsi="Times New Roman" w:cs="Times New Roman"/>
          <w:sz w:val="24"/>
          <w:szCs w:val="24"/>
          <w:lang w:eastAsia="uk-UA"/>
        </w:rPr>
        <w:t xml:space="preserve"> Schedule, </w:t>
      </w:r>
      <w:proofErr w:type="spellStart"/>
      <w:r w:rsidRPr="00052C82">
        <w:rPr>
          <w:rFonts w:ascii="Times New Roman" w:eastAsia="Times New Roman" w:hAnsi="Times New Roman" w:cs="Times New Roman"/>
          <w:sz w:val="24"/>
          <w:szCs w:val="24"/>
          <w:lang w:eastAsia="uk-UA"/>
        </w:rPr>
        <w:t>Second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Edition</w:t>
      </w:r>
      <w:proofErr w:type="spellEnd"/>
      <w:r w:rsidRPr="00052C82">
        <w:rPr>
          <w:rFonts w:ascii="Times New Roman" w:eastAsia="Times New Roman" w:hAnsi="Times New Roman" w:cs="Times New Roman"/>
          <w:sz w:val="24"/>
          <w:szCs w:val="24"/>
          <w:lang w:eastAsia="uk-UA"/>
        </w:rPr>
        <w:t xml:space="preserve"> (ADOS-2) та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Interview</w:t>
      </w:r>
      <w:proofErr w:type="spellEnd"/>
      <w:r w:rsidRPr="00052C82">
        <w:rPr>
          <w:rFonts w:ascii="Times New Roman" w:eastAsia="Times New Roman" w:hAnsi="Times New Roman" w:cs="Times New Roman"/>
          <w:sz w:val="24"/>
          <w:szCs w:val="24"/>
          <w:lang w:eastAsia="uk-UA"/>
        </w:rPr>
        <w:t>–</w:t>
      </w:r>
      <w:proofErr w:type="spellStart"/>
      <w:r w:rsidRPr="00052C82">
        <w:rPr>
          <w:rFonts w:ascii="Times New Roman" w:eastAsia="Times New Roman" w:hAnsi="Times New Roman" w:cs="Times New Roman"/>
          <w:sz w:val="24"/>
          <w:szCs w:val="24"/>
          <w:lang w:eastAsia="uk-UA"/>
        </w:rPr>
        <w:t>Revised</w:t>
      </w:r>
      <w:proofErr w:type="spellEnd"/>
      <w:r w:rsidRPr="00052C82">
        <w:rPr>
          <w:rFonts w:ascii="Times New Roman" w:eastAsia="Times New Roman" w:hAnsi="Times New Roman" w:cs="Times New Roman"/>
          <w:sz w:val="24"/>
          <w:szCs w:val="24"/>
          <w:lang w:eastAsia="uk-UA"/>
        </w:rPr>
        <w:t xml:space="preserve"> (ADI-R).</w:t>
      </w:r>
    </w:p>
    <w:p w14:paraId="50E4CA7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ADOS-2 ґрунтується на структурованому спостереженні за соціально-комунікативною поведінкою дитини в спеціально організованих ситуаціях. Методика містить модулі, добір яких залежить від віку та рівня експресивного мовлення обстежуваної особи.</w:t>
      </w:r>
    </w:p>
    <w:p w14:paraId="74382BA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оцінювання аналізують особливості соціальної взаємності, комунікативних ініціатив, використання невербальних засобів, гри, уяви та повторюваної поведінки. Важливо, що ADOS-2 не є універсальним тестом, результат якого автоматично підтверджує діагноз.</w:t>
      </w:r>
    </w:p>
    <w:p w14:paraId="29F0234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ADI-R являє собою структуроване інтерв'ю з батьками або особами, які добре знають історію розвитку дитини. Воно спрямоване на отримання докладної інформації про ранній розвиток, соціальну взаємодію, комунікацію та поведінкові особливості.</w:t>
      </w:r>
    </w:p>
    <w:p w14:paraId="7C87154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Застосування обох методик потребує відповідної професійної підготовки, дотримання стандартизованих процедур та правил використання інструментів.</w:t>
      </w:r>
    </w:p>
    <w:p w14:paraId="6547B8C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Принципово важливо, що клінічний висновок формується на підставі сукупності даних: історії розвитку, спостереження, результатів стандартизованого оцінювання, аналізу функціонування дитини в різних середовищах та професійного клінічного судження. Навіть спеціалізовані інструменти не повинні використовуватися ізольовано. </w:t>
      </w:r>
    </w:p>
    <w:p w14:paraId="0B898E48"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5B89B0F8" wp14:editId="4C56FECC">
            <wp:extent cx="304800" cy="30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72412A9"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NICE</w:t>
      </w:r>
    </w:p>
    <w:p w14:paraId="7DECA13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майбутніх вчителів-логопедів необхідно чітко розмежовувати компетенції: участь у комплексному оцінюванні комунікації та мовлення не означає самостійного встановлення медичного діагнозу. Водночас результати логопедичного обстеження можуть становити надзвичайно важливу частину міждисциплінарного діагностичного процесу.</w:t>
      </w:r>
    </w:p>
    <w:p w14:paraId="79F1307D"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5. Диференційна діагностика РАС та інших порушень розвитку</w:t>
      </w:r>
    </w:p>
    <w:p w14:paraId="34DE1B2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Диференційна діагностика є обов'язковою складовою комплексного оцінювання розвитку дитини з підозрою на РАС. Її мета полягає у визначенні того, чи відповідають виявлені особливості критеріям аутизму, чи можуть вони бути краще пояснені іншими порушеннями розвитку або медичними станами.</w:t>
      </w:r>
    </w:p>
    <w:p w14:paraId="47C3943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 xml:space="preserve">Складність диференційної діагностики зумовлена тим, що окремі прояви РАС не є унікальними. Затримка мовлення, труднощі соціальної взаємодії, обмеженість гри, сенсорні особливості та поведінкові труднощі можуть спостерігатися за різних </w:t>
      </w:r>
      <w:proofErr w:type="spellStart"/>
      <w:r w:rsidRPr="00052C82">
        <w:rPr>
          <w:rFonts w:ascii="Times New Roman" w:eastAsia="Times New Roman" w:hAnsi="Times New Roman" w:cs="Times New Roman"/>
          <w:sz w:val="24"/>
          <w:szCs w:val="24"/>
          <w:lang w:eastAsia="uk-UA"/>
        </w:rPr>
        <w:t>нейророзвиткових</w:t>
      </w:r>
      <w:proofErr w:type="spellEnd"/>
      <w:r w:rsidRPr="00052C82">
        <w:rPr>
          <w:rFonts w:ascii="Times New Roman" w:eastAsia="Times New Roman" w:hAnsi="Times New Roman" w:cs="Times New Roman"/>
          <w:sz w:val="24"/>
          <w:szCs w:val="24"/>
          <w:lang w:eastAsia="uk-UA"/>
        </w:rPr>
        <w:t xml:space="preserve"> станів.</w:t>
      </w:r>
    </w:p>
    <w:p w14:paraId="351A9412"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розлади розвитку мовлення</w:t>
      </w:r>
    </w:p>
    <w:p w14:paraId="57AF3AF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Одним із найважливіших завдань логопедичного оцінювання є розмежування РАС і розладів розвитку мовлення.</w:t>
      </w:r>
    </w:p>
    <w:p w14:paraId="78754FE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Дитина з розладом розвитку мовлення може мати обмежений словниковий запас, труднощі побудови граматичних конструкцій, порушення звуковимови або недостатнє розуміння складних мовленнєвих висловлювань. Однак при цьому вона може активно використовувати погляд, жести, міміку та інші невербальні засоби для підтримання соціальної взаємодії.</w:t>
      </w:r>
    </w:p>
    <w:p w14:paraId="4786F94E"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яка ще не може висловити прохання словами, може показати на потрібний предмет, перевести погляд на дорослого, використати відповідну міміку або продемонструвати бажану дію.</w:t>
      </w:r>
    </w:p>
    <w:p w14:paraId="2016FB9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труднощі нерідко охоплюють не лише формальний розвиток мовлення, а й ширшу сферу соціальної комунікації: соціальну взаємність, спільну увагу, використання комунікативних сигналів, гнучкість взаємодії.</w:t>
      </w:r>
    </w:p>
    <w:p w14:paraId="2CBE393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Проте цей розподіл не є абсолютним. РАС може поєднуватися з розладом розвитку мовлення, а діти з вираженими мовленнєвими труднощами можуть мати вторинні обмеження соціальної участі. Саме тому оцінювання повинно охоплювати як структурні компоненти мовлення, так і його функціональне використання.</w:t>
      </w:r>
    </w:p>
    <w:p w14:paraId="18A64575"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порушення слуху</w:t>
      </w:r>
    </w:p>
    <w:p w14:paraId="3DC355B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Порушення слуху можуть супроводжуватися недостатнім реагуванням на звернення, затримкою розвитку мовлення, труднощами сприймання усних інструкцій та особливостями соціальної взаємодії.</w:t>
      </w:r>
    </w:p>
    <w:p w14:paraId="09BD5BB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деяких випадках такі прояви помилково інтерпретуються як ознаки аутизму. Водночас порушення слуху не виключає наявності РАС: обидва стани можуть співіснувати.</w:t>
      </w:r>
    </w:p>
    <w:p w14:paraId="4074B22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Тому за наявності затримки мовленнєвого розвитку, непослідовного реагування на ім'я або труднощів розуміння зверненого мовлення важливо забезпечити належне </w:t>
      </w:r>
      <w:proofErr w:type="spellStart"/>
      <w:r w:rsidRPr="00052C82">
        <w:rPr>
          <w:rFonts w:ascii="Times New Roman" w:eastAsia="Times New Roman" w:hAnsi="Times New Roman" w:cs="Times New Roman"/>
          <w:sz w:val="24"/>
          <w:szCs w:val="24"/>
          <w:lang w:eastAsia="uk-UA"/>
        </w:rPr>
        <w:t>аудіологічне</w:t>
      </w:r>
      <w:proofErr w:type="spellEnd"/>
      <w:r w:rsidRPr="00052C82">
        <w:rPr>
          <w:rFonts w:ascii="Times New Roman" w:eastAsia="Times New Roman" w:hAnsi="Times New Roman" w:cs="Times New Roman"/>
          <w:sz w:val="24"/>
          <w:szCs w:val="24"/>
          <w:lang w:eastAsia="uk-UA"/>
        </w:rPr>
        <w:t xml:space="preserve"> оцінювання.</w:t>
      </w:r>
    </w:p>
    <w:p w14:paraId="57E37C3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Логопед повинен враховувати результати перевірки слуху під час інтерпретації мовленнєвих реакцій дитини. Недоцільно робити висновок про недостатню сформованість розуміння мовлення без урахування можливих сенсорних обмежень.</w:t>
      </w:r>
    </w:p>
    <w:p w14:paraId="4D2192CA"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інтелектуальні порушення</w:t>
      </w:r>
    </w:p>
    <w:p w14:paraId="1C09216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Інтелектуальні порушення можуть супроводжуватися загальним уповільненням розвитку пізнавальної діяльності, мовлення, гри, соціальних навичок і повсякденної самостійності.</w:t>
      </w:r>
    </w:p>
    <w:p w14:paraId="25544ED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Основне завдання диференційної діагностики полягає у визначенні того, чи є труднощі соціальної комунікації непропорційно вираженими порівняно із загальним рівнем розвитку дитини.</w:t>
      </w:r>
    </w:p>
    <w:p w14:paraId="2E60FB0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у дитини зі значним інтелектуальним порушенням може бути обмежене фразове мовлення, але збережене прагнення до соціального контакту, емоційної взаємності та використання доступних невербальних засобів комунікації.</w:t>
      </w:r>
    </w:p>
    <w:p w14:paraId="5989FCA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 іншому випадку дитина може демонструвати специфічні труднощі соціальної взаємності й повторювані моделі поведінки, які не пояснюються лише рівнем інтелектуального розвитку.</w:t>
      </w:r>
    </w:p>
    <w:p w14:paraId="1DAD66D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Необхідно пам'ятати, що інтелектуальні порушення та РАС можуть діагностуватися одночасно. Тому метою оцінювання є не обов'язковий вибір одного з двох діагнозів, а визначення повного профілю розвитку.</w:t>
      </w:r>
    </w:p>
    <w:p w14:paraId="204FCC82"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розлад дефіциту уваги з гіперактивністю</w:t>
      </w:r>
    </w:p>
    <w:p w14:paraId="30654EC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Розлад дефіциту уваги з гіперактивністю (РДУГ) характеризується стійкими проявами неуважності та/або гіперактивності-імпульсивності, які впливають на функціонування дитини.</w:t>
      </w:r>
    </w:p>
    <w:p w14:paraId="398AE61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Діти з РДУГ можуть відчувати труднощі підтримання діалогу, дотримання правил гри, очікування черги, регуляції поведінки та взаємодії з однолітками. Однак причини цих труднощів можуть відрізнятися від механізмів соціально-комунікативних особливостей при РАС.</w:t>
      </w:r>
    </w:p>
    <w:p w14:paraId="20A96E4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Наприклад, дитина з РДУГ може перебивати співрозмовника через імпульсивність, тоді як дитина з РАС може мати труднощі розуміння неявних правил чергування реплік або соціальних сигналів. Проте в реальних ситуаціях ці механізми можуть поєднуватися.</w:t>
      </w:r>
    </w:p>
    <w:p w14:paraId="1EF93C1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Сучасні діагностичні підходи визнають можливість одночасної наявності РАС і РДУГ. Тому під час оцінювання необхідно враховувати як соціально-комунікативні особливості, так і процеси уваги, саморегуляції та виконавчих функцій.</w:t>
      </w:r>
    </w:p>
    <w:p w14:paraId="5A822593"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соціальний (прагматичний) розлад комунікації</w:t>
      </w:r>
    </w:p>
    <w:p w14:paraId="4DE86A9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Особливе значення для логопедичної практики має розмежування РАС і соціального (прагматичного) розладу комунікації, представленого в DSM-5-TR.</w:t>
      </w:r>
    </w:p>
    <w:p w14:paraId="684E1C2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Цей розлад характеризується стійкими труднощами соціального використання вербальних і невербальних засобів комунікації. Вони можуть охоплювати пристосування мовлення до ситуації, дотримання правил діалогу, розуміння непрямих висловлювань та використання мовлення відповідно до соціального контексту.</w:t>
      </w:r>
    </w:p>
    <w:p w14:paraId="179B540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Принципова відмінність полягає в тому, що для РАС необхідна також наявність обмежених, повторюваних моделей поведінки, інтересів або діяльності в актуальному стані чи анамнезі. Якщо такі прояви відсутні, а провідними залишаються прагматичні труднощі, розглядають інші діагностичні можливості.</w:t>
      </w:r>
    </w:p>
    <w:p w14:paraId="3CF318B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логопед не повинен встановлювати диференційний висновок лише на підставі результатів окремого мовленнєвого тесту. Необхідно враховувати історію розвитку, особливості поведінки, дані спостережень і висновки інших фахівців.</w:t>
      </w:r>
    </w:p>
    <w:p w14:paraId="5507D03D"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тривожні розлади</w:t>
      </w:r>
    </w:p>
    <w:p w14:paraId="27CC910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із вираженою соціальною тривожністю можуть спостерігатися уникання контактів, обмеження мовленнєвої активності, труднощі участі в групових ситуаціях та зниження соціальної ініціативності.</w:t>
      </w:r>
    </w:p>
    <w:p w14:paraId="6DE3627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Однак при тривожних розладах такі труднощі можуть бути насамперед пов'язані зі страхом негативної оцінки або іншими тривожними переживаннями. При РАС особливості соціальної комунікації мають </w:t>
      </w:r>
      <w:proofErr w:type="spellStart"/>
      <w:r w:rsidRPr="00052C82">
        <w:rPr>
          <w:rFonts w:ascii="Times New Roman" w:eastAsia="Times New Roman" w:hAnsi="Times New Roman" w:cs="Times New Roman"/>
          <w:sz w:val="24"/>
          <w:szCs w:val="24"/>
          <w:lang w:eastAsia="uk-UA"/>
        </w:rPr>
        <w:t>нейророзвитковий</w:t>
      </w:r>
      <w:proofErr w:type="spellEnd"/>
      <w:r w:rsidRPr="00052C82">
        <w:rPr>
          <w:rFonts w:ascii="Times New Roman" w:eastAsia="Times New Roman" w:hAnsi="Times New Roman" w:cs="Times New Roman"/>
          <w:sz w:val="24"/>
          <w:szCs w:val="24"/>
          <w:lang w:eastAsia="uk-UA"/>
        </w:rPr>
        <w:t xml:space="preserve"> характер і простежуються в історії розвитку, хоча їхня вираженість може змінюватися залежно від умов.</w:t>
      </w:r>
    </w:p>
    <w:p w14:paraId="4746968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 також враховувати, що тривожні розлади можуть співіснувати з РАС, а несприятливе або надмірно вимогливе соціальне середовище здатне посилювати труднощі взаємодії.</w:t>
      </w:r>
    </w:p>
    <w:p w14:paraId="7A0889C8"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РАС та інші стани</w:t>
      </w:r>
    </w:p>
    <w:p w14:paraId="349AC35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Диференційне оцінювання може також охоплювати порушення зору, моторні розлади, наслідки психосоціальної </w:t>
      </w:r>
      <w:proofErr w:type="spellStart"/>
      <w:r w:rsidRPr="00052C82">
        <w:rPr>
          <w:rFonts w:ascii="Times New Roman" w:eastAsia="Times New Roman" w:hAnsi="Times New Roman" w:cs="Times New Roman"/>
          <w:sz w:val="24"/>
          <w:szCs w:val="24"/>
          <w:lang w:eastAsia="uk-UA"/>
        </w:rPr>
        <w:t>депривації</w:t>
      </w:r>
      <w:proofErr w:type="spellEnd"/>
      <w:r w:rsidRPr="00052C82">
        <w:rPr>
          <w:rFonts w:ascii="Times New Roman" w:eastAsia="Times New Roman" w:hAnsi="Times New Roman" w:cs="Times New Roman"/>
          <w:sz w:val="24"/>
          <w:szCs w:val="24"/>
          <w:lang w:eastAsia="uk-UA"/>
        </w:rPr>
        <w:t>, окремі генетичні синдроми, неврологічні захворювання та стани, що супроводжуються регресом розвитку.</w:t>
      </w:r>
    </w:p>
    <w:p w14:paraId="3044492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Особливої уваги потребують ситуації, коли дитина втрачає раніше сформовані мовленнєві, рухові або соціальні навички. Такі випадки потребують своєчасного медичного обстеження.</w:t>
      </w:r>
    </w:p>
    <w:p w14:paraId="46B73CA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Міжнародні клінічні рекомендації наголошують, що під час диференційної діагностики необхідно не лише розглядати альтернативні пояснення виявлених проявів, а й систематично оцінювати можливі супутні стани. </w:t>
      </w:r>
    </w:p>
    <w:p w14:paraId="7E9DAFB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4079B6BE" wp14:editId="186480AD">
            <wp:extent cx="304800" cy="304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26A3D3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NICE</w:t>
      </w:r>
    </w:p>
    <w:p w14:paraId="40BC5DD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Отже, диференційна діагностика РАС є багатокомпонентним процесом, у якому важливо уникати як надмірного приписування всіх труднощів аутизму, так і недооцінювання його проявів у дітей із супутніми порушеннями розвитку.</w:t>
      </w:r>
    </w:p>
    <w:p w14:paraId="15691E03"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6. Роль міждисциплінарної команди в комплексному оцінюванні розвитку дітей з РАС</w:t>
      </w:r>
    </w:p>
    <w:p w14:paraId="7CB10AD7" w14:textId="150F49F0"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Сучасний підхід до оцінювання розвитку дітей з РАС ґрунтується на принципі </w:t>
      </w:r>
      <w:proofErr w:type="spellStart"/>
      <w:r w:rsidRPr="00052C82">
        <w:rPr>
          <w:rFonts w:ascii="Times New Roman" w:eastAsia="Times New Roman" w:hAnsi="Times New Roman" w:cs="Times New Roman"/>
          <w:sz w:val="24"/>
          <w:szCs w:val="24"/>
          <w:lang w:eastAsia="uk-UA"/>
        </w:rPr>
        <w:t>міждисциплінарності</w:t>
      </w:r>
      <w:proofErr w:type="spellEnd"/>
      <w:r w:rsidRPr="00052C82">
        <w:rPr>
          <w:rFonts w:ascii="Times New Roman" w:eastAsia="Times New Roman" w:hAnsi="Times New Roman" w:cs="Times New Roman"/>
          <w:sz w:val="24"/>
          <w:szCs w:val="24"/>
          <w:lang w:eastAsia="uk-UA"/>
        </w:rPr>
        <w:t>. Його сутність полягає в об</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єднанні професійних компетентностей фахівців різного профілю для формування цілісного уявлення про розвиток дитини, її індивідуальні можливості, труднощі та потреби в підтримці.</w:t>
      </w:r>
    </w:p>
    <w:p w14:paraId="2EF9CB5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Необхідність міждисциплінарного підходу зумовлена складністю й </w:t>
      </w:r>
      <w:proofErr w:type="spellStart"/>
      <w:r w:rsidRPr="00052C82">
        <w:rPr>
          <w:rFonts w:ascii="Times New Roman" w:eastAsia="Times New Roman" w:hAnsi="Times New Roman" w:cs="Times New Roman"/>
          <w:sz w:val="24"/>
          <w:szCs w:val="24"/>
          <w:lang w:eastAsia="uk-UA"/>
        </w:rPr>
        <w:t>багатовимірністю</w:t>
      </w:r>
      <w:proofErr w:type="spellEnd"/>
      <w:r w:rsidRPr="00052C82">
        <w:rPr>
          <w:rFonts w:ascii="Times New Roman" w:eastAsia="Times New Roman" w:hAnsi="Times New Roman" w:cs="Times New Roman"/>
          <w:sz w:val="24"/>
          <w:szCs w:val="24"/>
          <w:lang w:eastAsia="uk-UA"/>
        </w:rPr>
        <w:t xml:space="preserve"> проявів РАС. Особливості соціальної комунікації можуть поєднуватися з мовленнєвими, </w:t>
      </w:r>
      <w:r w:rsidRPr="00052C82">
        <w:rPr>
          <w:rFonts w:ascii="Times New Roman" w:eastAsia="Times New Roman" w:hAnsi="Times New Roman" w:cs="Times New Roman"/>
          <w:sz w:val="24"/>
          <w:szCs w:val="24"/>
          <w:lang w:eastAsia="uk-UA"/>
        </w:rPr>
        <w:lastRenderedPageBreak/>
        <w:t>когнітивними, сенсорними, моторними, емоційними та поведінковими труднощами. Жоден окремий фахівець не володіє повним спектром компетентностей, необхідних для всебічного оцінювання всіх цих сфер.</w:t>
      </w:r>
    </w:p>
    <w:p w14:paraId="3FF9F45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У міжнародних рекомендаціях NICE основними учасниками спеціалізованої команди оцінювання аутизму визначено лікаря-педіатра та/або дитячого психіатра, фахівця з мовлення і комунікації та психолога, який має відповідну підготовку. За потреби до оцінювання залучають інших медичних, освітніх і соціальних фахівців. </w:t>
      </w:r>
    </w:p>
    <w:p w14:paraId="731E6DA3"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noProof/>
          <w:sz w:val="24"/>
          <w:szCs w:val="24"/>
          <w:lang w:eastAsia="uk-UA"/>
        </w:rPr>
        <w:drawing>
          <wp:inline distT="0" distB="0" distL="0" distR="0" wp14:anchorId="62A924AB" wp14:editId="0DF09A54">
            <wp:extent cx="304800" cy="304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160F87A" w14:textId="77777777" w:rsidR="00052C82" w:rsidRPr="00052C82" w:rsidRDefault="00052C82" w:rsidP="00052C82">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NICE</w:t>
      </w:r>
    </w:p>
    <w:p w14:paraId="302960A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 українських умовах склад команди може відрізнятися залежно від установи та мети оцінювання. Важливо розмежовувати медичну команду, яка бере участь у клінічній діагностиці, та команду психолого-педагогічного супроводу, яка визначає освітні потреби дитини й організовує підтримку в закладі освіти. Ці команди можуть взаємодіяти, але їхні функції не є тотожними.</w:t>
      </w:r>
    </w:p>
    <w:p w14:paraId="3E6E862B"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Функції медичних фахівців</w:t>
      </w:r>
    </w:p>
    <w:p w14:paraId="311DF7B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Лікар-педіатр бере участь у первинному виявленні особливостей розвитку, аналізі соматичного стану, зборі медичного анамнезу та визначенні необхідності направлення до профільних спеціалістів.</w:t>
      </w:r>
    </w:p>
    <w:p w14:paraId="65B5D88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Дитячий психіатр у межах своєї професійної компетентності здійснює клінічне оцінювання психічного та </w:t>
      </w:r>
      <w:proofErr w:type="spellStart"/>
      <w:r w:rsidRPr="00052C82">
        <w:rPr>
          <w:rFonts w:ascii="Times New Roman" w:eastAsia="Times New Roman" w:hAnsi="Times New Roman" w:cs="Times New Roman"/>
          <w:sz w:val="24"/>
          <w:szCs w:val="24"/>
          <w:lang w:eastAsia="uk-UA"/>
        </w:rPr>
        <w:t>нейророзвиткового</w:t>
      </w:r>
      <w:proofErr w:type="spellEnd"/>
      <w:r w:rsidRPr="00052C82">
        <w:rPr>
          <w:rFonts w:ascii="Times New Roman" w:eastAsia="Times New Roman" w:hAnsi="Times New Roman" w:cs="Times New Roman"/>
          <w:sz w:val="24"/>
          <w:szCs w:val="24"/>
          <w:lang w:eastAsia="uk-UA"/>
        </w:rPr>
        <w:t xml:space="preserve"> стану, проводить диференційну діагностику, визначає наявність супутніх психічних розладів і формує відповідні клінічні висновки.</w:t>
      </w:r>
    </w:p>
    <w:p w14:paraId="0C40050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Дитячий невролог може залучатися за наявності судомних станів, регресу розвитку, рухових порушень або інших неврологічних симптомів. Його участь особливо важлива тоді, коли необхідно виключити або встановити супутні неврологічні захворювання.</w:t>
      </w:r>
    </w:p>
    <w:p w14:paraId="0F0E163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Слід наголосити, що клінічне оцінювання аутизму не передбачає обов'язкового проведення однакового набору лабораторних, генетичних або інструментальних досліджень для кожної дитини. Додаткові медичні обстеження призначаються за конкретними показаннями.</w:t>
      </w:r>
    </w:p>
    <w:p w14:paraId="2A78188C"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Функції психолога</w:t>
      </w:r>
    </w:p>
    <w:p w14:paraId="5C528C6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Психолог здійснює оцінювання пізнавальної діяльності, емоційної сфери, особливостей поведінки, соціальної взаємодії, адаптивних навичок і психологічних ресурсів дитини.</w:t>
      </w:r>
    </w:p>
    <w:p w14:paraId="65E1013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Важливою складовою психологічного оцінювання є дослідження уваги, пам'яті, мислення, наслідування, здатності до саморегуляції та особливостей навчання.</w:t>
      </w:r>
    </w:p>
    <w:p w14:paraId="03F884D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результати виконання психологічних завдань можуть суттєво залежати від способу подання інструкції, сенсорних умов, рівня мотивації та доступності комунікації. Наприклад, дитина може не виконати завдання у відповідь на складну усну інструкцію, але успішно впоратися з аналогічним завданням після візуального пояснення.</w:t>
      </w:r>
    </w:p>
    <w:p w14:paraId="700D924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Тому психологічне оцінювання повинно враховувати не лише правильність виконання завдань, а й умови, за яких дитина демонструє свої можливості.</w:t>
      </w:r>
    </w:p>
    <w:p w14:paraId="53B1D45C"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Функції вчителя-логопеда</w:t>
      </w:r>
    </w:p>
    <w:p w14:paraId="682C9F2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Вчитель-логопед відіграє одну з провідних ролей у дослідженні комунікативно-мовленнєвого розвитку дітей з РАС.</w:t>
      </w:r>
    </w:p>
    <w:p w14:paraId="12E314F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Його професійні завдання охоплюють оцінювання передумов мовленнєвого розвитку, </w:t>
      </w:r>
      <w:proofErr w:type="spellStart"/>
      <w:r w:rsidRPr="00052C82">
        <w:rPr>
          <w:rFonts w:ascii="Times New Roman" w:eastAsia="Times New Roman" w:hAnsi="Times New Roman" w:cs="Times New Roman"/>
          <w:sz w:val="24"/>
          <w:szCs w:val="24"/>
          <w:lang w:eastAsia="uk-UA"/>
        </w:rPr>
        <w:t>імпресивного</w:t>
      </w:r>
      <w:proofErr w:type="spellEnd"/>
      <w:r w:rsidRPr="00052C82">
        <w:rPr>
          <w:rFonts w:ascii="Times New Roman" w:eastAsia="Times New Roman" w:hAnsi="Times New Roman" w:cs="Times New Roman"/>
          <w:sz w:val="24"/>
          <w:szCs w:val="24"/>
          <w:lang w:eastAsia="uk-UA"/>
        </w:rPr>
        <w:t xml:space="preserve"> й експресивного мовлення, фонетико-фонологічних, лексичних, граматичних і прагматичних компонентів, а також невербальної та альтернативної комунікації.</w:t>
      </w:r>
    </w:p>
    <w:p w14:paraId="2CA8AB4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Особливого значення набуває оцінювання функціональності комунікації. Вчитель-логопед повинен визначити не лише те, які слова чи граматичні конструкції дитина знає, а й те, яким чином вона використовує доступні засоби для встановлення контакту, висловлення потреб, обміну інформацією та участі в соціальній взаємодії.</w:t>
      </w:r>
    </w:p>
    <w:p w14:paraId="5DC0020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мати достатній запас іменників і дієслів, але не володіти навичкою самостійного звернення по допомогу. Інша дитина може не користуватися усним мовленням, але ефективно обирати символи на комунікативній дошці для повідомлення про бажання.</w:t>
      </w:r>
    </w:p>
    <w:p w14:paraId="2A19F58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Обидві ситуації потребують різних підходів до планування логопедичної допомоги.</w:t>
      </w:r>
    </w:p>
    <w:p w14:paraId="40EDC823"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Функції спеціального педагога</w:t>
      </w:r>
    </w:p>
    <w:p w14:paraId="7D23BD1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Спеціальний педагог досліджує особливості навчальної діяльності, сформованість пізнавальних передумов, здатність засвоювати нові способи дій, використовувати допомогу дорослого та переносити набуті навички в інші ситуації.</w:t>
      </w:r>
    </w:p>
    <w:p w14:paraId="5F1A9F3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процесі оцінювання важливо визначити, які форми навчання є найбільш доступними для дитини: предметно-практичні, ігрові, візуальні, наслідувальні або комбіновані.</w:t>
      </w:r>
    </w:p>
    <w:p w14:paraId="1B5A8B6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Окреме значення має дослідження здатності дитини виконувати завдання самостійно та з різними видами підтримки. Це дозволяє визначити не лише актуальний рівень розвитку, а й потенційні можливості навчання.</w:t>
      </w:r>
    </w:p>
    <w:p w14:paraId="7BA2850B"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Участь інших фахівців</w:t>
      </w:r>
    </w:p>
    <w:p w14:paraId="24D6F1A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За потреби до міждисциплінарного оцінювання можуть залучатися фахівці з </w:t>
      </w:r>
      <w:proofErr w:type="spellStart"/>
      <w:r w:rsidRPr="00052C82">
        <w:rPr>
          <w:rFonts w:ascii="Times New Roman" w:eastAsia="Times New Roman" w:hAnsi="Times New Roman" w:cs="Times New Roman"/>
          <w:sz w:val="24"/>
          <w:szCs w:val="24"/>
          <w:lang w:eastAsia="uk-UA"/>
        </w:rPr>
        <w:t>ерготерапії</w:t>
      </w:r>
      <w:proofErr w:type="spellEnd"/>
      <w:r w:rsidRPr="00052C82">
        <w:rPr>
          <w:rFonts w:ascii="Times New Roman" w:eastAsia="Times New Roman" w:hAnsi="Times New Roman" w:cs="Times New Roman"/>
          <w:sz w:val="24"/>
          <w:szCs w:val="24"/>
          <w:lang w:eastAsia="uk-UA"/>
        </w:rPr>
        <w:t>, фізичної терапії, аудіології, офтальмології, соціальної роботи та інших напрямів.</w:t>
      </w:r>
    </w:p>
    <w:p w14:paraId="65017AD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Фахівець з </w:t>
      </w:r>
      <w:proofErr w:type="spellStart"/>
      <w:r w:rsidRPr="00052C82">
        <w:rPr>
          <w:rFonts w:ascii="Times New Roman" w:eastAsia="Times New Roman" w:hAnsi="Times New Roman" w:cs="Times New Roman"/>
          <w:sz w:val="24"/>
          <w:szCs w:val="24"/>
          <w:lang w:eastAsia="uk-UA"/>
        </w:rPr>
        <w:t>ерготерапії</w:t>
      </w:r>
      <w:proofErr w:type="spellEnd"/>
      <w:r w:rsidRPr="00052C82">
        <w:rPr>
          <w:rFonts w:ascii="Times New Roman" w:eastAsia="Times New Roman" w:hAnsi="Times New Roman" w:cs="Times New Roman"/>
          <w:sz w:val="24"/>
          <w:szCs w:val="24"/>
          <w:lang w:eastAsia="uk-UA"/>
        </w:rPr>
        <w:t xml:space="preserve"> може оцінювати повсякденну активність, сенсорні особливості, участь у самообслуговуванні та адаптацію середовища. </w:t>
      </w:r>
      <w:proofErr w:type="spellStart"/>
      <w:r w:rsidRPr="00052C82">
        <w:rPr>
          <w:rFonts w:ascii="Times New Roman" w:eastAsia="Times New Roman" w:hAnsi="Times New Roman" w:cs="Times New Roman"/>
          <w:sz w:val="24"/>
          <w:szCs w:val="24"/>
          <w:lang w:eastAsia="uk-UA"/>
        </w:rPr>
        <w:t>Аудіологічне</w:t>
      </w:r>
      <w:proofErr w:type="spellEnd"/>
      <w:r w:rsidRPr="00052C82">
        <w:rPr>
          <w:rFonts w:ascii="Times New Roman" w:eastAsia="Times New Roman" w:hAnsi="Times New Roman" w:cs="Times New Roman"/>
          <w:sz w:val="24"/>
          <w:szCs w:val="24"/>
          <w:lang w:eastAsia="uk-UA"/>
        </w:rPr>
        <w:t xml:space="preserve"> оцінювання необхідне для визначення стану слухової функції, особливо за наявності затримки мовлення або непослідовного реагування на звукові стимули.</w:t>
      </w:r>
    </w:p>
    <w:p w14:paraId="04D28EE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Важливою умовою ефективної міждисциплінарної взаємодії є узгодження результатів оцінювання. Недостатньо, щоб кожен фахівець підготував окремий висновок. Необхідно інтегрувати отриману інформацію в єдиний функціональний профіль дитини.</w:t>
      </w:r>
    </w:p>
    <w:p w14:paraId="1CC0227C"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Батьки як партнери міждисциплінарної команди</w:t>
      </w:r>
    </w:p>
    <w:p w14:paraId="11F7B33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Особливе місце в процесі комплексного оцінювання посідають батьки або законні представники дитини. Вони володіють інформацією про ранній розвиток, повсякденну поведінку, способи спілкування, інтереси, сенсорні реакції та умови, у яких дитина почувається найбільш комфортно.</w:t>
      </w:r>
    </w:p>
    <w:p w14:paraId="66A3C38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Інформація від батьків є незамінною для розуміння поведінки дитини поза межами діагностичного кабінету. Деякі комунікативні навички можуть проявлятися лише у звичних домашніх ситуаціях, тоді як у незнайомому середовищі дитина демонструє значно нижчий рівень активності.</w:t>
      </w:r>
    </w:p>
    <w:p w14:paraId="339053B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оцінювання не повинно ґрунтуватися виключно на повідомленнях батьків. Необхідне зіставлення інформації з безпосереднім спостереженням і результатами професійного обстеження.</w:t>
      </w:r>
    </w:p>
    <w:p w14:paraId="42E7F56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Ефективна міждисциплінарна взаємодія передбачає партнерські стосунки з родиною, зрозуміле пояснення результатів оцінювання, спільне визначення пріоритетів підтримки та повагу до індивідуальних особливостей дитини.</w:t>
      </w:r>
    </w:p>
    <w:p w14:paraId="57BF8362"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7. Психолого-педагогічне та логопедичне оцінювання комунікативних, мовленнєвих і соціальних навичок</w:t>
      </w:r>
    </w:p>
    <w:p w14:paraId="69201B3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Психолого-педагогічне та логопедичне оцінювання дітей з РАС має особливе значення, оскільки дозволяє перейти від загального клінічного опису розладу до визначення конкретних можливостей дитини, її труднощів та умов ефективного навчання.</w:t>
      </w:r>
    </w:p>
    <w:p w14:paraId="0FC029C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Основним завданням такого оцінювання є побудова індивідуального профілю розвитку, який відображає стан сформованості комунікативних, мовленнєвих, соціальних, когнітивних та адаптивних навичок.</w:t>
      </w:r>
    </w:p>
    <w:p w14:paraId="5A0F7E4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 щоб оцінювання мало не лише констатувальний, а й прогностичний характер. Воно повинно відповідати на запитання: які навички вже сформовані, які перебувають у процесі становлення, за яких умов дитина демонструє найкращі результати та яка підтримка необхідна для подальшого розвитку.</w:t>
      </w:r>
    </w:p>
    <w:p w14:paraId="1F6B379E"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передумов комунікативно-мовленнєвого розвитку</w:t>
      </w:r>
    </w:p>
    <w:p w14:paraId="6F415E1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раннього та дошкільного віку особливу увагу приділяють сформованості передумов мовленнєвої діяльності.</w:t>
      </w:r>
    </w:p>
    <w:p w14:paraId="39C4AE2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Однією з таких передумов є здатність до соціальної орієнтації. Фахівець спостерігає, чи помічає дитина присутність іншої людини, чи реагує на соціальні звернення, чи виявляє зацікавленість спільною діяльністю.</w:t>
      </w:r>
    </w:p>
    <w:p w14:paraId="495A787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Наступним показником є здатність до наслідування. Наслідування відіграє важливу роль у засвоєнні предметних дій, соціальних моделей поведінки та мовленнєвих засобів.</w:t>
      </w:r>
    </w:p>
    <w:p w14:paraId="2ECC6D0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Під час оцінювання доцільно досліджувати наслідування рухів із предметами, простих жестів, дій без предметів, звуків і мовленнєвих зразків. Водночас недостатнє наслідування не слід автоматично трактувати як відсутність здатності до навчання. Воно може залежати від мотивації, розуміння ситуації, моторних можливостей або особливостей сенсорного сприймання.</w:t>
      </w:r>
    </w:p>
    <w:p w14:paraId="7380ADA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Важливою передумовою мовленнєвого розвитку є спільна увага. Під час її оцінювання визначають, чи здатна дитина простежувати напрямок погляду або вказівного жесту дорослого, переводити увагу між предметом і співрозмовником, самостійно ініціювати спільне зосередження на цікавій події.</w:t>
      </w:r>
    </w:p>
    <w:p w14:paraId="2A925A9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Необхідно розмежовувати реагування на спільну увагу та її ініціювання. Дитина може виконувати прохання дорослого подивитися на предмет, але не використовувати аналогічні засоби для самостійного привернення уваги іншої людини.</w:t>
      </w:r>
    </w:p>
    <w:p w14:paraId="4BA985C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Ще одним напрямом є оцінювання комунікативної інтенції — наміру передати іншій людині певне повідомлення. Комунікативна інтенція може реалізовуватися за допомогою погляду, жесту, вокалізації, слова, зображення або іншого доступного засобу.</w:t>
      </w:r>
    </w:p>
    <w:p w14:paraId="417D1A7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спостереження важливо встановити, чи ініціює дитина комунікацію самостійно, чи переважно реагує на звернення, а також які мотиви спонукають її до взаємодії.</w:t>
      </w:r>
    </w:p>
    <w:p w14:paraId="776D7A3B"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 xml:space="preserve">Оцінювання </w:t>
      </w:r>
      <w:proofErr w:type="spellStart"/>
      <w:r w:rsidRPr="00052C82">
        <w:rPr>
          <w:rFonts w:ascii="Times New Roman" w:eastAsia="Times New Roman" w:hAnsi="Times New Roman" w:cs="Times New Roman"/>
          <w:b/>
          <w:bCs/>
          <w:sz w:val="24"/>
          <w:szCs w:val="24"/>
          <w:lang w:eastAsia="uk-UA"/>
        </w:rPr>
        <w:t>імпресивного</w:t>
      </w:r>
      <w:proofErr w:type="spellEnd"/>
      <w:r w:rsidRPr="00052C82">
        <w:rPr>
          <w:rFonts w:ascii="Times New Roman" w:eastAsia="Times New Roman" w:hAnsi="Times New Roman" w:cs="Times New Roman"/>
          <w:b/>
          <w:bCs/>
          <w:sz w:val="24"/>
          <w:szCs w:val="24"/>
          <w:lang w:eastAsia="uk-UA"/>
        </w:rPr>
        <w:t xml:space="preserve"> мовлення</w:t>
      </w:r>
    </w:p>
    <w:p w14:paraId="3DF7275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Імпресивне</w:t>
      </w:r>
      <w:proofErr w:type="spellEnd"/>
      <w:r w:rsidRPr="00052C82">
        <w:rPr>
          <w:rFonts w:ascii="Times New Roman" w:eastAsia="Times New Roman" w:hAnsi="Times New Roman" w:cs="Times New Roman"/>
          <w:sz w:val="24"/>
          <w:szCs w:val="24"/>
          <w:lang w:eastAsia="uk-UA"/>
        </w:rPr>
        <w:t xml:space="preserve"> мовлення охоплює процеси сприймання та розуміння мовленнєвої інформації.</w:t>
      </w:r>
    </w:p>
    <w:p w14:paraId="4DAC07E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рівень розуміння мовлення може істотно відрізнятися від рівня його зовнішнього відтворення. Дитина іноді здатна вимовляти складні слова або фрази, але відчувати труднощі розуміння простих інструкцій, особливо якщо вони подаються поза звичним контекстом.</w:t>
      </w:r>
    </w:p>
    <w:p w14:paraId="5BB7C23E"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Логопедичне оцінювання </w:t>
      </w:r>
      <w:proofErr w:type="spellStart"/>
      <w:r w:rsidRPr="00052C82">
        <w:rPr>
          <w:rFonts w:ascii="Times New Roman" w:eastAsia="Times New Roman" w:hAnsi="Times New Roman" w:cs="Times New Roman"/>
          <w:sz w:val="24"/>
          <w:szCs w:val="24"/>
          <w:lang w:eastAsia="uk-UA"/>
        </w:rPr>
        <w:t>імпресивного</w:t>
      </w:r>
      <w:proofErr w:type="spellEnd"/>
      <w:r w:rsidRPr="00052C82">
        <w:rPr>
          <w:rFonts w:ascii="Times New Roman" w:eastAsia="Times New Roman" w:hAnsi="Times New Roman" w:cs="Times New Roman"/>
          <w:sz w:val="24"/>
          <w:szCs w:val="24"/>
          <w:lang w:eastAsia="uk-UA"/>
        </w:rPr>
        <w:t xml:space="preserve"> мовлення передбачає дослідження розуміння назв предметів, дій, ознак, просторових і часових відношень, граматичних конструкцій, запитань та інструкцій різного рівня складності.</w:t>
      </w:r>
    </w:p>
    <w:p w14:paraId="33A3AD8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Особливу увагу необхідно приділяти розмежуванню справжнього розуміння мовлення та виконання дій на підставі ситуаційних підказок.</w:t>
      </w:r>
    </w:p>
    <w:p w14:paraId="2943CD5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виконувати інструкцію «Одягни куртку» тоді, коли бачить дорослого біля дверей, але не розуміти аналогічного висловлювання поза звичним контекстом. У цьому випадку успішність виконання може частково визначатися ситуаційними сигналами.</w:t>
      </w:r>
    </w:p>
    <w:p w14:paraId="29291AC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Тому під час оцінювання доцільно варіювати умови пред'явлення інструкцій, використовувати знайомий і новий матеріал, контролювати наявність невербальних підказок.</w:t>
      </w:r>
    </w:p>
    <w:p w14:paraId="28F6446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завдання не повинні створювати надмірне сенсорне чи емоційне навантаження. Низький результат, отриманий в умовах вираженого стресу, не завжди відображає реальні мовленнєві можливості дитини.</w:t>
      </w:r>
    </w:p>
    <w:p w14:paraId="0AA9F42A"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експресивного мовлення</w:t>
      </w:r>
    </w:p>
    <w:p w14:paraId="3508A83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Експресивне мовлення охоплює засоби самостійного мовленнєвого вираження думок, бажань, емоцій та інформації.</w:t>
      </w:r>
    </w:p>
    <w:p w14:paraId="2829AE88" w14:textId="3ABCBF3C"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процесі логопедичного оцінювання аналізують обсяг активного словника, особливості слововживання, граматичну будову, звуковимову, складову структуру слів, просодичні характеристики та зв</w:t>
      </w:r>
      <w:r w:rsidR="00D05728"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язне мовлення.</w:t>
      </w:r>
    </w:p>
    <w:p w14:paraId="6219508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Однак у дітей з РАС традиційне оцінювання формальних мовленнєвих компонентів необхідно доповнювати аналізом комунікативного призначення висловлювань.</w:t>
      </w:r>
    </w:p>
    <w:p w14:paraId="0032281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правильно відповідати на запитання «Що це?», називаючи десятки предметів, але не використовувати слова для самостійного повідомлення про свої потреби. Такий результат свідчить про необхідність розвитку не лише лексичного запасу, а й комунікативної ініціативності.</w:t>
      </w:r>
    </w:p>
    <w:p w14:paraId="1F38381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Окремої уваги потребує аналіз спонтанного мовлення. Важливо визначити, які висловлювання дитина продукує самостійно, які відтворює за зразком, а які використовує як сталі мовленнєві конструкції.</w:t>
      </w:r>
    </w:p>
    <w:p w14:paraId="4ACDC13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Під час оцінювання </w:t>
      </w:r>
      <w:proofErr w:type="spellStart"/>
      <w:r w:rsidRPr="00052C82">
        <w:rPr>
          <w:rFonts w:ascii="Times New Roman" w:eastAsia="Times New Roman" w:hAnsi="Times New Roman" w:cs="Times New Roman"/>
          <w:sz w:val="24"/>
          <w:szCs w:val="24"/>
          <w:lang w:eastAsia="uk-UA"/>
        </w:rPr>
        <w:t>ехолалій</w:t>
      </w:r>
      <w:proofErr w:type="spellEnd"/>
      <w:r w:rsidRPr="00052C82">
        <w:rPr>
          <w:rFonts w:ascii="Times New Roman" w:eastAsia="Times New Roman" w:hAnsi="Times New Roman" w:cs="Times New Roman"/>
          <w:sz w:val="24"/>
          <w:szCs w:val="24"/>
          <w:lang w:eastAsia="uk-UA"/>
        </w:rPr>
        <w:t xml:space="preserve"> доцільно фіксувати їхній контекст, можливу функцію, зв'язок із ситуацією та реакцією співрозмовника.</w:t>
      </w:r>
    </w:p>
    <w:p w14:paraId="527A864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Наприклад, якщо дитина повторює запитання «Хочеш пити?» у ситуації, коли прагне отримати воду, таке висловлювання може виконувати функцію прохання. Завдання логопеда </w:t>
      </w:r>
      <w:r w:rsidRPr="00052C82">
        <w:rPr>
          <w:rFonts w:ascii="Times New Roman" w:eastAsia="Times New Roman" w:hAnsi="Times New Roman" w:cs="Times New Roman"/>
          <w:sz w:val="24"/>
          <w:szCs w:val="24"/>
          <w:lang w:eastAsia="uk-UA"/>
        </w:rPr>
        <w:lastRenderedPageBreak/>
        <w:t>полягає у визначенні цієї функції та створенні умов для розвитку зрозуміліших і гнучкіших способів повідомлення про потребу.</w:t>
      </w:r>
    </w:p>
    <w:p w14:paraId="417DC16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недоцільно вважати всі повторювані висловлювання беззмістовними або вимагати їх механічного усунення. Ефективніша стратегія полягає у вивченні їхнього призначення та розширенні доступних засобів комунікації.</w:t>
      </w:r>
    </w:p>
    <w:p w14:paraId="1070AEE9"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прагматичного компонента мовлення</w:t>
      </w:r>
    </w:p>
    <w:p w14:paraId="4DF2E01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Прагматичний компонент мовлення характеризує здатність використовувати </w:t>
      </w:r>
      <w:proofErr w:type="spellStart"/>
      <w:r w:rsidRPr="00052C82">
        <w:rPr>
          <w:rFonts w:ascii="Times New Roman" w:eastAsia="Times New Roman" w:hAnsi="Times New Roman" w:cs="Times New Roman"/>
          <w:sz w:val="24"/>
          <w:szCs w:val="24"/>
          <w:lang w:eastAsia="uk-UA"/>
        </w:rPr>
        <w:t>мовні</w:t>
      </w:r>
      <w:proofErr w:type="spellEnd"/>
      <w:r w:rsidRPr="00052C82">
        <w:rPr>
          <w:rFonts w:ascii="Times New Roman" w:eastAsia="Times New Roman" w:hAnsi="Times New Roman" w:cs="Times New Roman"/>
          <w:sz w:val="24"/>
          <w:szCs w:val="24"/>
          <w:lang w:eastAsia="uk-UA"/>
        </w:rPr>
        <w:t xml:space="preserve"> засоби відповідно до комунікативної ситуації, мети висловлювання та особливостей співрозмовника.</w:t>
      </w:r>
    </w:p>
    <w:p w14:paraId="798C663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дітей з РАС ця сфера часто становить один із провідних напрямів оцінювання.</w:t>
      </w:r>
    </w:p>
    <w:p w14:paraId="1A3B2AB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дослідження прагматичних навичок необхідно визначати, чи здатна дитина ініціювати спілкування, підтримувати тему розмови, відповідати на запитання, ставити власні запитання, дотримуватися черговості реплік і завершувати взаємодію.</w:t>
      </w:r>
    </w:p>
    <w:p w14:paraId="6AE2B8B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 менш важливо оцінювати здатність пристосовувати висловлювання до ситуації та комунікативного партнера.</w:t>
      </w:r>
    </w:p>
    <w:p w14:paraId="16D56FE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детально розповідати про улюблену тему, але не помічати, що співрозмовник не володіє необхідною інформацією або прагне змінити тему. Такі прояви можуть свідчити про труднощі врахування комунікативного контексту.</w:t>
      </w:r>
    </w:p>
    <w:p w14:paraId="153354A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прагматичне оцінювання повинно враховувати двосторонній характер комунікації. Непорозуміння можуть виникати не лише через особливості дитини, а й через недостатню адаптацію мовлення дорослого, нечіткі інструкції, надмірно швидкий темп взаємодії або невідповідність комунікативних очікувань.</w:t>
      </w:r>
    </w:p>
    <w:p w14:paraId="6D42583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Тому сучасний логопедичний підхід передбачає оцінювання не лише навичок дитини, а й доступності комунікативного середовища.</w:t>
      </w:r>
    </w:p>
    <w:p w14:paraId="253E1004"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невербальної комунікації</w:t>
      </w:r>
    </w:p>
    <w:p w14:paraId="58F9368E"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Невербальна комунікація охоплює жести, міміку, рухи тіла, просторову поведінку, погляд та інші немовленнєві засоби передавання інформації.</w:t>
      </w:r>
    </w:p>
    <w:p w14:paraId="6BAEBBE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особливості невербальної комунікації можуть проявлятися в обмеженому використанні традиційних жестів, недостатній узгодженості різних комунікативних сигналів або труднощах інтерпретації невербальної поведінки інших людей.</w:t>
      </w:r>
    </w:p>
    <w:p w14:paraId="296B705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оцінювання важливо визначати не лише наявність певного жесту, а й його функцію.</w:t>
      </w:r>
    </w:p>
    <w:p w14:paraId="19C1E1A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вказівний жест може використовуватися для прохання надати предмет, для привернення уваги до цікавої події або для відповіді на запитання дорослого. Формально однакова дія в цих ситуаціях має різне комунікативне призначення.</w:t>
      </w:r>
    </w:p>
    <w:p w14:paraId="3DFB471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Особливої уваги потребує оцінювання зорового контакту. Його не можна розглядати як універсальний показник ефективності комунікації. Частина дітей з РАС може відчувати дискомфорт під час прямого погляду в очі, але при цьому успішно сприймати мовлення, підтримувати взаємодію та демонструвати зацікавленість співрозмовником іншими способами.</w:t>
      </w:r>
    </w:p>
    <w:p w14:paraId="6BE2513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Тому завдання фахівця полягає не в примусовому формуванні зорового контакту, а в розвитку доступних, добровільних і функціональних засобів соціальної взаємодії.</w:t>
      </w:r>
    </w:p>
    <w:p w14:paraId="64534083"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ігрової діяльності</w:t>
      </w:r>
    </w:p>
    <w:p w14:paraId="68DED9F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Ігрова діяльність є важливим показником пізнавального, соціального та комунікативного розвитку дитини дошкільного віку.</w:t>
      </w:r>
    </w:p>
    <w:p w14:paraId="485E07DE"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процесі оцінювання необхідно аналізувати предметні, функціональні, символічні та соціальні форми гри.</w:t>
      </w:r>
    </w:p>
    <w:p w14:paraId="5A60AFA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Предметна гра передбачає маніпулювання об'єктами та дослідження їхніх властивостей. Функціональна гра характеризується використанням предметів відповідно до їхнього призначення. Символічна гра передбачає умовне заміщення предметів і моделювання уявних ситуацій.</w:t>
      </w:r>
    </w:p>
    <w:p w14:paraId="4A3EA77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використовувати кубик як телефон або годувати ляльку уявною їжею. Такі дії відображають розвиток символічного мислення та здатності до уявного моделювання.</w:t>
      </w:r>
    </w:p>
    <w:p w14:paraId="60ABD40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дітей з РАС символічна гра може формуватися нерівномірно, мати обмежений репертуар або потребувати додаткового педагогічного моделювання.</w:t>
      </w:r>
    </w:p>
    <w:p w14:paraId="3AF2E3A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Під час оцінювання необхідно враховувати, чи здатна дитина розширювати ігровий сюжет, приймати пропозиції партнера, змінювати ролі, використовувати предмети-замінники та брати участь у спільній діяльності.</w:t>
      </w:r>
    </w:p>
    <w:p w14:paraId="1314F502"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 також виявляти індивідуальні інтереси дитини, оскільки саме вони можуть стати ефективною основою для розвитку комунікації, навчання та соціальної взаємодії.</w:t>
      </w:r>
    </w:p>
    <w:p w14:paraId="2608180F"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соціальних навичок</w:t>
      </w:r>
    </w:p>
    <w:p w14:paraId="1F8FB21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Соціальні навички охоплюють способи встановлення та підтримання взаємодії з іншими людьми, участі у спільній діяльності, розуміння соціальних ситуацій і регуляції власної поведінки.</w:t>
      </w:r>
    </w:p>
    <w:p w14:paraId="66B10B5A"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дошкільному віці доцільно досліджувати здатність дитини брати участь у паралельній та спільній грі, звертатися до однолітків, відповідати на їхні ініціативи, обмінюватися предметами, узгоджувати прості правила та звертатися по допомогу.</w:t>
      </w:r>
    </w:p>
    <w:p w14:paraId="310D6F76"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оцінювання повинно враховувати індивідуальні особливості соціальної мотивації. Не всі діти однаково прагнуть тривалої групової взаємодії, і сама по собі перевага індивідуальної діяльності не повинна автоматично розглядатися як порушення.</w:t>
      </w:r>
    </w:p>
    <w:p w14:paraId="6B79CDB1"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Важливішим показником є можливість дитини брати участь у значущих для неї соціальних ситуаціях, висловлювати власні потреби та реалізовувати доступні форми взаємодії.</w:t>
      </w:r>
    </w:p>
    <w:p w14:paraId="3AD4F89C"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Оцінювання альтернативної та додаткової комунікації</w:t>
      </w:r>
    </w:p>
    <w:p w14:paraId="17525583"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Альтернативна та додаткова комунікація (АДК) становить систему засобів і стратегій, які доповнюють або замінюють усне мовлення в ситуаціях, коли воно не забезпечує достатньо ефективного спілкування.</w:t>
      </w:r>
    </w:p>
    <w:p w14:paraId="4CA73817"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До засобів АДК належать природні жести, предметні символи, фотографії, графічні зображення, комунікативні книги, таблиці та електронні пристрої з мовленнєвим виходом.</w:t>
      </w:r>
    </w:p>
    <w:p w14:paraId="461F985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оцінювання необхідно визначити, які засоби дитина вже використовує, наскільки вони доступні їй у повсякденних ситуаціях, чи здатна вона здійснювати вибір, ініціювати звернення та повідомляти про власні потреби.</w:t>
      </w:r>
    </w:p>
    <w:p w14:paraId="4524B845" w14:textId="02CD5F9A"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Важливо враховувати моторні, сенсорні, когнітивні та мовленнєві можливості дитини. Наприклад, для однієї дитини оптимальними можуть бути великі графічні символи, для іншої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електронний комунікатор, а для третьої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поєднання жестів і візуальних засобів.</w:t>
      </w:r>
    </w:p>
    <w:p w14:paraId="2CBE076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Застосування АДК не повинно відкладатися до моменту, коли буде доведено неефективність усного мовлення. За наявності комунікативних потреб відповідні засоби можуть запроваджуватися на ранніх етапах підтримки.</w:t>
      </w:r>
    </w:p>
    <w:p w14:paraId="112F008B"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Сучасні підходи розглядають АДК не як перешкоду для розвитку мовлення, а як спосіб розширення можливостей комунікації та соціальної участі.</w:t>
      </w:r>
    </w:p>
    <w:p w14:paraId="53348D37"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Методи психолого-педагогічного та логопедичного оцінювання</w:t>
      </w:r>
    </w:p>
    <w:p w14:paraId="221A641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практиці комплексного оцінювання доцільно поєднувати стандартизовані й неформалізовані методи.</w:t>
      </w:r>
    </w:p>
    <w:p w14:paraId="697E18B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Стандартизовані методики дозволяють отримати результати за визначеною процедурою та, за наявності належних нормативних даних, зіставити їх із відповідними показниками розвитку.</w:t>
      </w:r>
    </w:p>
    <w:p w14:paraId="258759A9" w14:textId="3E12BC31"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Неформалізовані методи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спостереження, аналіз спонтанної комунікації, ігрові проби, бесіди з батьками, аналіз відеозаписів повсякденної взаємодії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дозволяють глибше зрозуміти індивідуальний комунікативний профіль дитини.</w:t>
      </w:r>
    </w:p>
    <w:p w14:paraId="548763D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Особливу цінність має динамічне оцінювання, яке передбачає аналіз змін у виконанні завдань після надання дозованої допомоги.</w:t>
      </w:r>
    </w:p>
    <w:p w14:paraId="690CFDF9"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спочатку дитині пропонують самостійно виконати комунікативне завдання, після чого фахівець поступово надає візуальну підказку, модель дії або інший вид підтримки. Важливо визначити, який саме рівень допомоги дозволяє дитині досягти результату та чи зберігається сформована навичка після зменшення підтримки.</w:t>
      </w:r>
    </w:p>
    <w:p w14:paraId="32782A60"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Такий підхід дозволяє оцінити потенціал навчання та визначити ефективні педагогічні стратегії.</w:t>
      </w:r>
    </w:p>
    <w:p w14:paraId="46FE7473" w14:textId="77777777" w:rsidR="00052C82" w:rsidRPr="00052C82" w:rsidRDefault="00052C82" w:rsidP="00052C82">
      <w:pPr>
        <w:spacing w:before="100" w:beforeAutospacing="1" w:after="100" w:afterAutospacing="1"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Усі результати необхідно документувати із зазначенням умов оцінювання, використаних методів, рівня самостійності дитини, характеру наданої допомоги та особливостей її реакцій.</w:t>
      </w:r>
    </w:p>
    <w:p w14:paraId="2AC635DF"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Підсумковий логопедичний висновок повинен відображати не лише труднощі, а й сильні сторони комунікативно-мовленнєвого розвитку, доступні засоби спілкування та рекомендації щодо подальшої підтримки.</w:t>
      </w:r>
    </w:p>
    <w:p w14:paraId="110D7A8A"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8. Визначення індивідуальних потреб дітей з РАС у підтримці</w:t>
      </w:r>
    </w:p>
    <w:p w14:paraId="4D22C16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Завершальним етапом комплексного оцінювання розвитку дитини з РАС є визначення її індивідуальних потреб у підтримці. Цей процес передбачає узагальнення результатів медичного, психологічного, педагогічного та логопедичного оцінювання з метою створення умов для максимально можливої участі дитини в освітній, комунікативній та повсякденній діяльності.</w:t>
      </w:r>
    </w:p>
    <w:p w14:paraId="4962218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Сучасний підхід до визначення потреб у підтримці ґрунтується на функціональній моделі розуміння розвитку. Відповідно до цієї моделі труднощі дитини розглядаються не лише як наслідок індивідуальних особливостей, а й у взаємозв'язку з вимогами та характеристиками навколишнього середовища.</w:t>
      </w:r>
    </w:p>
    <w:p w14:paraId="54ADDA3D"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дитина може успішно виконувати навчальні завдання в умовах індивідуальної роботи, але відчувати значні труднощі під час групового заняття через високий рівень шуму, швидкий темп подання інформації та недостатню передбачуваність діяльності. У цьому випадку підтримка повинна передбачати не лише розвиток індивідуальних навичок, а й відповідну адаптацію освітнього середовища.</w:t>
      </w:r>
    </w:p>
    <w:p w14:paraId="2C9A42F5"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Принципи визначення індивідуальних потреб</w:t>
      </w:r>
    </w:p>
    <w:p w14:paraId="350780F4"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Першим принципом є індивідуалізація. Наявність однакового клінічного діагнозу не означає однакових освітніх або корекційно-</w:t>
      </w:r>
      <w:proofErr w:type="spellStart"/>
      <w:r w:rsidRPr="00052C82">
        <w:rPr>
          <w:rFonts w:ascii="Times New Roman" w:eastAsia="Times New Roman" w:hAnsi="Times New Roman" w:cs="Times New Roman"/>
          <w:sz w:val="24"/>
          <w:szCs w:val="24"/>
          <w:lang w:eastAsia="uk-UA"/>
        </w:rPr>
        <w:t>розвиткових</w:t>
      </w:r>
      <w:proofErr w:type="spellEnd"/>
      <w:r w:rsidRPr="00052C82">
        <w:rPr>
          <w:rFonts w:ascii="Times New Roman" w:eastAsia="Times New Roman" w:hAnsi="Times New Roman" w:cs="Times New Roman"/>
          <w:sz w:val="24"/>
          <w:szCs w:val="24"/>
          <w:lang w:eastAsia="uk-UA"/>
        </w:rPr>
        <w:t xml:space="preserve"> потреб.</w:t>
      </w:r>
    </w:p>
    <w:p w14:paraId="7BEAE335" w14:textId="272992D3"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Другий принцип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комплексність. Потреби дитини необхідно розглядати в єдності комунікативного, мовленнєвого, пізнавального, соціального, емоційного та адаптивного розвитку.</w:t>
      </w:r>
    </w:p>
    <w:p w14:paraId="7D1B6EE6" w14:textId="714E7B69"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Третій принцип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функціональна спрямованість. Пріоритетними повинні бути навички, які безпосередньо покращують повсякденне функціонування та якість життя дитини.</w:t>
      </w:r>
    </w:p>
    <w:p w14:paraId="207A5722" w14:textId="62846DC6"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Четвертий принцип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партнерство з родиною. Батьки беруть участь у визначенні найбільш актуальних труднощів, пріоритетних цілей та прийнятних способів підтримки.</w:t>
      </w:r>
    </w:p>
    <w:p w14:paraId="106D6448" w14:textId="3ED80EAE"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П'ятий принцип </w:t>
      </w:r>
      <w:r w:rsidR="002A4989"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 xml:space="preserve"> динамічність. Індивідуальні потреби не залишаються незмінними, тому результати оцінювання та програма підтримки повинні періодично переглядатися.</w:t>
      </w:r>
    </w:p>
    <w:p w14:paraId="4FACE915" w14:textId="77777777" w:rsidR="00052C82" w:rsidRPr="00052C82" w:rsidRDefault="00052C82" w:rsidP="002A4989">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Визначення комунікативних потреб</w:t>
      </w:r>
    </w:p>
    <w:p w14:paraId="3776BD0C"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Комунікативна підтримка є одним із провідних напрямів роботи з дітьми з РАС.</w:t>
      </w:r>
    </w:p>
    <w:p w14:paraId="613F36D8"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Під час визначення відповідних потреб необхідно з'ясувати, чи має дитина доступний і зрозумілий спосіб повідомлення про бажання, потреби, емоції та фізичний стан.</w:t>
      </w:r>
    </w:p>
    <w:p w14:paraId="5127F33B"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Особливого значення набуває можливість дитини повідомити про біль, дискомфорт, небажання продовжувати діяльність або необхідність отримання допомоги.</w:t>
      </w:r>
    </w:p>
    <w:p w14:paraId="04AAF475" w14:textId="77777777" w:rsidR="00052C82" w:rsidRPr="00052C82" w:rsidRDefault="00052C82" w:rsidP="002A4989">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Наприклад, якщо дитина не може самостійно попросити перерву, її перевантаження може проявлятися </w:t>
      </w:r>
      <w:proofErr w:type="spellStart"/>
      <w:r w:rsidRPr="00052C82">
        <w:rPr>
          <w:rFonts w:ascii="Times New Roman" w:eastAsia="Times New Roman" w:hAnsi="Times New Roman" w:cs="Times New Roman"/>
          <w:sz w:val="24"/>
          <w:szCs w:val="24"/>
          <w:lang w:eastAsia="uk-UA"/>
        </w:rPr>
        <w:t>плачем</w:t>
      </w:r>
      <w:proofErr w:type="spellEnd"/>
      <w:r w:rsidRPr="00052C82">
        <w:rPr>
          <w:rFonts w:ascii="Times New Roman" w:eastAsia="Times New Roman" w:hAnsi="Times New Roman" w:cs="Times New Roman"/>
          <w:sz w:val="24"/>
          <w:szCs w:val="24"/>
          <w:lang w:eastAsia="uk-UA"/>
        </w:rPr>
        <w:t>, униканням діяльності або іншими поведінковими реакціями. У такій ситуації одним із першочергових завдань є формування доступного способу повідомлення «Перерва», «Допоможи» або «Не хочу».</w:t>
      </w:r>
    </w:p>
    <w:p w14:paraId="2D70CDB3"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Необхідно враховувати, що розвиток комунікації не обмежується навчанням проханням. Дитина повинна мати можливість коментувати події, висловлювати власну думку, ставити запитання, відмовлятися, робити вибір і брати участь у соціальному обміні.</w:t>
      </w:r>
    </w:p>
    <w:p w14:paraId="5B901169"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Визначення потреб у мовленнєвій підтримці</w:t>
      </w:r>
    </w:p>
    <w:p w14:paraId="40F8CAA0"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Логопедична підтримка визначається відповідно до індивідуального профілю мовленнєвого розвитку.</w:t>
      </w:r>
    </w:p>
    <w:p w14:paraId="23824208"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дітей, які не використовують функціональне усне мовлення, пріоритетними можуть бути розвиток комунікативної ініціативності, розуміння доступних повідомлень, запровадження засобів АДК та розширення комунікативних функцій.</w:t>
      </w:r>
    </w:p>
    <w:p w14:paraId="572BE194"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дітей із фразовим мовленням важливими можуть бути розвиток граматичної будови, зв'язного мовлення, розуміння складних висловлювань і формування навичок діалогу.</w:t>
      </w:r>
    </w:p>
    <w:p w14:paraId="4979DF34"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дітей із достатньо розвиненим структурним мовленням, але вираженими прагматичними труднощами, пріоритетними можуть бути розвиток уміння враховувати контекст спілкування, розуміти непрямі повідомлення, підтримувати тему розмови та узгоджувати власні висловлювання з реакціями співрозмовника.</w:t>
      </w:r>
    </w:p>
    <w:p w14:paraId="6374B211"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У всіх випадках логопедична робота повинна мати функціональну спрямованість і передбачати перенесення сформованих навичок у повсякденні ситуації.</w:t>
      </w:r>
    </w:p>
    <w:p w14:paraId="0EE030C3"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Визначення потреб в адаптації освітнього середовища</w:t>
      </w:r>
    </w:p>
    <w:p w14:paraId="49BB629C"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Діти з РАС можуть потребувати різних форм адаптації організації освітнього процесу.</w:t>
      </w:r>
    </w:p>
    <w:p w14:paraId="34C2D63C"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Одним із ефективних напрямів є забезпечення передбачуваності діяльності. Для цього можуть використовуватися візуальні розклади, послідовності дій, графічні інструкції та попередження про майбутні зміни.</w:t>
      </w:r>
    </w:p>
    <w:p w14:paraId="31A1944A"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Важливе значення має адаптація способів подання інформації. Усні інструкції можуть доповнюватися візуальними зразками, демонстрацією дії, предметними підказками або письмовими повідомленнями відповідно до можливостей дитини.</w:t>
      </w:r>
    </w:p>
    <w:p w14:paraId="1EC2A238"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За наявності сенсорної чутливості необхідно враховувати рівень шуму, освітлення, кількість одночасних подразників, можливість короткочасного відпочинку та доступність спокійного простору.</w:t>
      </w:r>
    </w:p>
    <w:p w14:paraId="2BD5EED3"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Водночас адаптація не повинна призводити до необґрунтованого обмеження участі дитини у спільній діяльності. Її призначення полягає у створенні доступних умов для навчання та взаємодії.</w:t>
      </w:r>
    </w:p>
    <w:p w14:paraId="4937DC22"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Формування індивідуального профілю підтримки</w:t>
      </w:r>
    </w:p>
    <w:p w14:paraId="7F04E920"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Результати комплексного оцінювання доцільно узагальнювати у вигляді індивідуального функціонального профілю.</w:t>
      </w:r>
    </w:p>
    <w:p w14:paraId="7A707C96"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Такий профіль повинен містити інформацію про сильні сторони дитини, актуальні навички, основні труднощі, доступні засоби комунікації, особливості сприймання інформації, умови успішного навчання та необхідні види підтримки.</w:t>
      </w:r>
    </w:p>
    <w:p w14:paraId="48689262"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Розглянемо умовний приклад.</w:t>
      </w:r>
    </w:p>
    <w:p w14:paraId="6EC4983C"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 xml:space="preserve">Дитина п'яти років із РАС використовує окремі слова та короткі фрази, добре розрізняє зображення предметів, виявляє значний інтерес до транспортних засобів. Водночас </w:t>
      </w:r>
      <w:proofErr w:type="spellStart"/>
      <w:r w:rsidRPr="00052C82">
        <w:rPr>
          <w:rFonts w:ascii="Times New Roman" w:eastAsia="Times New Roman" w:hAnsi="Times New Roman" w:cs="Times New Roman"/>
          <w:sz w:val="24"/>
          <w:szCs w:val="24"/>
          <w:lang w:eastAsia="uk-UA"/>
        </w:rPr>
        <w:t>рідко</w:t>
      </w:r>
      <w:proofErr w:type="spellEnd"/>
      <w:r w:rsidRPr="00052C82">
        <w:rPr>
          <w:rFonts w:ascii="Times New Roman" w:eastAsia="Times New Roman" w:hAnsi="Times New Roman" w:cs="Times New Roman"/>
          <w:sz w:val="24"/>
          <w:szCs w:val="24"/>
          <w:lang w:eastAsia="uk-UA"/>
        </w:rPr>
        <w:t xml:space="preserve"> ініціює спілкування, має труднощі розуміння складних усних інструкцій, не завжди може повідомити про потребу в допомозі та відчуває дискомфорт під час раптової зміни діяльності.</w:t>
      </w:r>
    </w:p>
    <w:p w14:paraId="07111F73"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Результати оцінювання свідчать про наявність кількох взаємопов'язаних потреб.</w:t>
      </w:r>
    </w:p>
    <w:p w14:paraId="36F036C0"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комунікативній сфері доцільно розвивати самостійне звернення по допомогу, формування прохання, вибору та коментування.</w:t>
      </w:r>
    </w:p>
    <w:p w14:paraId="38713187"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мовленнєвій сфері необхідно працювати над розумінням інструкцій, розширенням функціонального словника та формуванням доступних фразових конструкцій.</w:t>
      </w:r>
    </w:p>
    <w:p w14:paraId="6985D059"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 освітньому середовищі доцільно застосовувати візуальний розклад, попереджати про зміну діяльності та використовувати інтерес до транспорту як мотиваційну основу навчальних завдань.</w:t>
      </w:r>
    </w:p>
    <w:p w14:paraId="4D96CB09"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соціальній сфері важливо створювати ситуації короткотривалої спільної гри з дорослим та однолітками, поступово розширюючи їхню тривалість і складність.</w:t>
      </w:r>
    </w:p>
    <w:p w14:paraId="2CF7F6E8"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цьому прикладі результати оцінювання не обмежуються констатацією мовленнєвих або поведінкових труднощів, а безпосередньо визначають зміст подальшої підтримки.</w:t>
      </w:r>
    </w:p>
    <w:p w14:paraId="3FC7E591"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Визначення цілей корекційно-</w:t>
      </w:r>
      <w:proofErr w:type="spellStart"/>
      <w:r w:rsidRPr="00052C82">
        <w:rPr>
          <w:rFonts w:ascii="Times New Roman" w:eastAsia="Times New Roman" w:hAnsi="Times New Roman" w:cs="Times New Roman"/>
          <w:b/>
          <w:bCs/>
          <w:sz w:val="24"/>
          <w:szCs w:val="24"/>
          <w:lang w:eastAsia="uk-UA"/>
        </w:rPr>
        <w:t>розвиткової</w:t>
      </w:r>
      <w:proofErr w:type="spellEnd"/>
      <w:r w:rsidRPr="00052C82">
        <w:rPr>
          <w:rFonts w:ascii="Times New Roman" w:eastAsia="Times New Roman" w:hAnsi="Times New Roman" w:cs="Times New Roman"/>
          <w:b/>
          <w:bCs/>
          <w:sz w:val="24"/>
          <w:szCs w:val="24"/>
          <w:lang w:eastAsia="uk-UA"/>
        </w:rPr>
        <w:t xml:space="preserve"> роботи</w:t>
      </w:r>
    </w:p>
    <w:p w14:paraId="72BEC9DC"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 підставі індивідуального профілю формулюють конкретні, досяжні та вимірювані цілі.</w:t>
      </w:r>
    </w:p>
    <w:p w14:paraId="1C52E320"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Наприклад, загальне формулювання «розвивати комунікативні навички» є недостатньо конкретним для планування та оцінювання результативності роботи.</w:t>
      </w:r>
    </w:p>
    <w:p w14:paraId="32E0132D"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Більш доцільним буде визначення такої цілі: протягом восьми тижнів дитина самостійно звертатиметься по допомогу за допомогою доступного слова, жесту або графічного символу щонайменше у чотирьох із п'яти природних ситуацій, за результатами спостережень протягом кількох занять.</w:t>
      </w:r>
    </w:p>
    <w:p w14:paraId="594C62F0"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Таке формулювання дозволяє визначити конкретну навичку, умови її реалізації, допустимі засоби комунікації та критерії оцінювання.</w:t>
      </w:r>
    </w:p>
    <w:p w14:paraId="627C76DD"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Важливо, щоб цілі відповідали реальним потребам дитини й не зводилися до формального відтворення поведінки, яка не має для неї функціонального значення.</w:t>
      </w:r>
    </w:p>
    <w:p w14:paraId="5BE8E8C8"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Моніторинг результативності підтримки</w:t>
      </w:r>
    </w:p>
    <w:p w14:paraId="11371B19"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Комплексне оцінювання не повинно завершуватися одноразовим формуванням висновку. Воно має становити основу систематичного моніторингу розвитку.</w:t>
      </w:r>
    </w:p>
    <w:p w14:paraId="0A174AC7"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lastRenderedPageBreak/>
        <w:t>У процесі моніторингу визначають, чи збільшується самостійність дитини, чи розширюється коло комунікативних функцій, чи переносить вона сформовані навички в нові ситуації та чи зменшується залежність від допомоги дорослого.</w:t>
      </w:r>
    </w:p>
    <w:p w14:paraId="3A9C6CB7" w14:textId="05358289"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Важливим показником є не лише успішність виконання завдань під час індивідуального заняття, а й можливість використання відповідних навичок у сім</w:t>
      </w:r>
      <w:r w:rsidR="00D05728" w:rsidRPr="00D05728">
        <w:rPr>
          <w:rFonts w:ascii="Times New Roman" w:eastAsia="Times New Roman" w:hAnsi="Times New Roman" w:cs="Times New Roman"/>
          <w:sz w:val="24"/>
          <w:szCs w:val="24"/>
          <w:lang w:eastAsia="uk-UA"/>
        </w:rPr>
        <w:t>’</w:t>
      </w:r>
      <w:r w:rsidRPr="00052C82">
        <w:rPr>
          <w:rFonts w:ascii="Times New Roman" w:eastAsia="Times New Roman" w:hAnsi="Times New Roman" w:cs="Times New Roman"/>
          <w:sz w:val="24"/>
          <w:szCs w:val="24"/>
          <w:lang w:eastAsia="uk-UA"/>
        </w:rPr>
        <w:t>ї, закладі освіти та інших соціальних середовищах.</w:t>
      </w:r>
    </w:p>
    <w:p w14:paraId="1E0379B5"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Якщо заплановані результати не досягаються, необхідно переглянути не лише зміст завдань, а й умови навчання, доступність комунікації, рівень складності вимог та відповідність методів індивідуальним можливостям дитини.</w:t>
      </w:r>
    </w:p>
    <w:p w14:paraId="0660C456"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Отже, визначення індивідуальних потреб у підтримці є логічним завершенням комплексного оцінювання та водночас початковим етапом планування системної психолого-педагогічної і логопедичної допомоги.</w:t>
      </w:r>
    </w:p>
    <w:p w14:paraId="4958D7D5"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Висновки</w:t>
      </w:r>
    </w:p>
    <w:p w14:paraId="705CCFE2"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Раннє виявлення та комплексне оцінювання розвитку дітей з розладами аутистичного спектра є важливими складовими сучасної системи медичної, психологічної, педагогічної та логопедичної допомоги.</w:t>
      </w:r>
    </w:p>
    <w:p w14:paraId="339FF236"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Своєчасне виявлення особливостей соціальної комунікації, мовленнєвого розвитку, ігрової діяльності, сенсорного реагування та поведінки дозволяє визначити необхідність поглибленого обстеження й організувати ранню підтримку.</w:t>
      </w:r>
    </w:p>
    <w:p w14:paraId="1A1BC4AE"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Скринінгові методики забезпечують попереднє виявлення ризику РАС, проте не можуть використовуватися як самостійні засоби клінічної діагностики. Встановлення діагнозу передбачає комплексний аналіз історії розвитку, поведінкових проявів, результатів спеціалізованого оцінювання та диференційної діагностики.</w:t>
      </w:r>
    </w:p>
    <w:p w14:paraId="3655107E"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Особливе значення має міждисциплінарна взаємодія, яка дозволяє поєднати медичні, психологічні, педагогічні та логопедичні дані в цілісний профіль розвитку дитини.</w:t>
      </w:r>
    </w:p>
    <w:p w14:paraId="78667DF9"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Для професійної діяльності вчителя-логопеда пріоритетним є оцінювання не лише формальних компонентів мовлення, а й його функціонального використання, невербальної комунікації, прагматичних навичок, спільної уваги та можливостей альтернативної і додаткової комунікації.</w:t>
      </w:r>
    </w:p>
    <w:p w14:paraId="0EFBAF3F" w14:textId="77777777" w:rsidR="00052C82" w:rsidRPr="00052C82" w:rsidRDefault="00052C82" w:rsidP="00D05728">
      <w:p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Головним результатом комплексного оцінювання має бути не лише визначення особливостей розвитку дитини, а й обґрунтування конкретних шляхів забезпечення її комунікативної доступності, освітньої участі, самостійності та соціальної взаємодії.</w:t>
      </w:r>
    </w:p>
    <w:p w14:paraId="687ECC0A" w14:textId="77777777" w:rsidR="00052C82" w:rsidRPr="00052C82" w:rsidRDefault="00052C82" w:rsidP="00D05728">
      <w:pPr>
        <w:spacing w:after="0" w:line="240" w:lineRule="auto"/>
        <w:ind w:firstLine="709"/>
        <w:jc w:val="both"/>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Питання для самоконтролю</w:t>
      </w:r>
    </w:p>
    <w:p w14:paraId="636698C3"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чому полягає відмінність між раннім виявленням ознак РАС, скринінгом, клінічною діагностикою та функціональним оцінюванням?</w:t>
      </w:r>
    </w:p>
    <w:p w14:paraId="71FF57B7"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Які ранні особливості соціальної комунікації можуть свідчити про необхідність поглибленого оцінювання розвитку дитини?</w:t>
      </w:r>
    </w:p>
    <w:p w14:paraId="6BD4F061"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Яке значення має спільна увага для становлення комунікативно-мовленнєвого розвитку?</w:t>
      </w:r>
    </w:p>
    <w:p w14:paraId="63169E77"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Які можливості та обмеження мають методики M-CHAT-R/F, CSBS DP, STAT і SCQ?</w:t>
      </w:r>
    </w:p>
    <w:p w14:paraId="75CA245A"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У чому полягають основні діагностичні критерії РАС відповідно до DSM-5-TR та МКХ-11?</w:t>
      </w:r>
    </w:p>
    <w:p w14:paraId="66E18AD4"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Які особливості необхідно враховувати під час диференційної діагностики РАС і розладів розвитку мовлення?</w:t>
      </w:r>
    </w:p>
    <w:p w14:paraId="7597C3D9"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Які функції виконує вчитель-логопед у складі міждисциплінарної команди?</w:t>
      </w:r>
    </w:p>
    <w:p w14:paraId="5A415E0E"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Чому оцінювання прагматичного компонента мовлення є особливо важливим для дітей з РАС?</w:t>
      </w:r>
    </w:p>
    <w:p w14:paraId="18C2339A"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Які показники необхідно враховувати під час визначення потреби дитини в засобах альтернативної та додаткової комунікації?</w:t>
      </w:r>
    </w:p>
    <w:p w14:paraId="6D425FBA" w14:textId="77777777" w:rsidR="00052C82" w:rsidRPr="00052C82" w:rsidRDefault="00052C82" w:rsidP="00D05728">
      <w:pPr>
        <w:numPr>
          <w:ilvl w:val="0"/>
          <w:numId w:val="3"/>
        </w:numPr>
        <w:spacing w:after="0" w:line="240" w:lineRule="auto"/>
        <w:ind w:firstLine="709"/>
        <w:jc w:val="both"/>
        <w:rPr>
          <w:rFonts w:ascii="Times New Roman" w:eastAsia="Times New Roman" w:hAnsi="Times New Roman" w:cs="Times New Roman"/>
          <w:sz w:val="24"/>
          <w:szCs w:val="24"/>
          <w:lang w:eastAsia="uk-UA"/>
        </w:rPr>
      </w:pPr>
      <w:r w:rsidRPr="00052C82">
        <w:rPr>
          <w:rFonts w:ascii="Times New Roman" w:eastAsia="Times New Roman" w:hAnsi="Times New Roman" w:cs="Times New Roman"/>
          <w:sz w:val="24"/>
          <w:szCs w:val="24"/>
          <w:lang w:eastAsia="uk-UA"/>
        </w:rPr>
        <w:t>Як результати комплексного оцінювання використовуються для визначення індивідуальних цілей корекційно-</w:t>
      </w:r>
      <w:proofErr w:type="spellStart"/>
      <w:r w:rsidRPr="00052C82">
        <w:rPr>
          <w:rFonts w:ascii="Times New Roman" w:eastAsia="Times New Roman" w:hAnsi="Times New Roman" w:cs="Times New Roman"/>
          <w:sz w:val="24"/>
          <w:szCs w:val="24"/>
          <w:lang w:eastAsia="uk-UA"/>
        </w:rPr>
        <w:t>розвиткової</w:t>
      </w:r>
      <w:proofErr w:type="spellEnd"/>
      <w:r w:rsidRPr="00052C82">
        <w:rPr>
          <w:rFonts w:ascii="Times New Roman" w:eastAsia="Times New Roman" w:hAnsi="Times New Roman" w:cs="Times New Roman"/>
          <w:sz w:val="24"/>
          <w:szCs w:val="24"/>
          <w:lang w:eastAsia="uk-UA"/>
        </w:rPr>
        <w:t xml:space="preserve"> роботи?</w:t>
      </w:r>
    </w:p>
    <w:p w14:paraId="265F5909" w14:textId="77777777" w:rsidR="00052C82" w:rsidRPr="00052C82" w:rsidRDefault="00052C82" w:rsidP="00D05728">
      <w:pPr>
        <w:spacing w:after="0" w:line="240" w:lineRule="auto"/>
        <w:ind w:firstLine="709"/>
        <w:jc w:val="center"/>
        <w:rPr>
          <w:rFonts w:ascii="Times New Roman" w:eastAsia="Times New Roman" w:hAnsi="Times New Roman" w:cs="Times New Roman"/>
          <w:b/>
          <w:bCs/>
          <w:sz w:val="24"/>
          <w:szCs w:val="24"/>
          <w:lang w:eastAsia="uk-UA"/>
        </w:rPr>
      </w:pPr>
      <w:r w:rsidRPr="00052C82">
        <w:rPr>
          <w:rFonts w:ascii="Times New Roman" w:eastAsia="Times New Roman" w:hAnsi="Times New Roman" w:cs="Times New Roman"/>
          <w:b/>
          <w:bCs/>
          <w:sz w:val="24"/>
          <w:szCs w:val="24"/>
          <w:lang w:eastAsia="uk-UA"/>
        </w:rPr>
        <w:t>Рекомендовані джерела</w:t>
      </w:r>
    </w:p>
    <w:p w14:paraId="32E7687D"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lastRenderedPageBreak/>
        <w:t>World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Health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Organization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Clinical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Descriptions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Requirements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ICD-11 </w:t>
      </w:r>
      <w:proofErr w:type="spellStart"/>
      <w:r w:rsidRPr="00052C82">
        <w:rPr>
          <w:rFonts w:ascii="Times New Roman" w:eastAsia="Times New Roman" w:hAnsi="Times New Roman" w:cs="Times New Roman"/>
          <w:sz w:val="24"/>
          <w:szCs w:val="24"/>
          <w:lang w:eastAsia="uk-UA"/>
        </w:rPr>
        <w:t>Mental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Behavioural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Neurodevelopmental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Geneva</w:t>
      </w:r>
      <w:proofErr w:type="spellEnd"/>
      <w:r w:rsidRPr="00052C82">
        <w:rPr>
          <w:rFonts w:ascii="Times New Roman" w:eastAsia="Times New Roman" w:hAnsi="Times New Roman" w:cs="Times New Roman"/>
          <w:sz w:val="24"/>
          <w:szCs w:val="24"/>
          <w:lang w:eastAsia="uk-UA"/>
        </w:rPr>
        <w:t xml:space="preserve">: WHO, 2024. </w:t>
      </w:r>
      <w:hyperlink r:id="rId8" w:history="1">
        <w:r w:rsidRPr="00052C82">
          <w:rPr>
            <w:rFonts w:ascii="Times New Roman" w:eastAsia="Times New Roman" w:hAnsi="Times New Roman" w:cs="Times New Roman"/>
            <w:color w:val="0000FF"/>
            <w:sz w:val="24"/>
            <w:szCs w:val="24"/>
            <w:u w:val="single"/>
            <w:lang w:eastAsia="uk-UA"/>
          </w:rPr>
          <w:t>Повний текст видання</w:t>
        </w:r>
      </w:hyperlink>
      <w:r w:rsidRPr="00052C82">
        <w:rPr>
          <w:rFonts w:ascii="Times New Roman" w:eastAsia="Times New Roman" w:hAnsi="Times New Roman" w:cs="Times New Roman"/>
          <w:sz w:val="24"/>
          <w:szCs w:val="24"/>
          <w:lang w:eastAsia="uk-UA"/>
        </w:rPr>
        <w:t>.</w:t>
      </w:r>
    </w:p>
    <w:p w14:paraId="72A0626B"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American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Psychiatric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Association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Statistical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Manual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of</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Mental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Disorders</w:t>
      </w:r>
      <w:proofErr w:type="spellEnd"/>
      <w:r w:rsidRPr="00052C82">
        <w:rPr>
          <w:rFonts w:ascii="Times New Roman" w:eastAsia="Times New Roman" w:hAnsi="Times New Roman" w:cs="Times New Roman"/>
          <w:sz w:val="24"/>
          <w:szCs w:val="24"/>
          <w:lang w:eastAsia="uk-UA"/>
        </w:rPr>
        <w:t xml:space="preserve">. 5th </w:t>
      </w:r>
      <w:proofErr w:type="spellStart"/>
      <w:r w:rsidRPr="00052C82">
        <w:rPr>
          <w:rFonts w:ascii="Times New Roman" w:eastAsia="Times New Roman" w:hAnsi="Times New Roman" w:cs="Times New Roman"/>
          <w:sz w:val="24"/>
          <w:szCs w:val="24"/>
          <w:lang w:eastAsia="uk-UA"/>
        </w:rPr>
        <w:t>ed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Text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Revision</w:t>
      </w:r>
      <w:proofErr w:type="spellEnd"/>
      <w:r w:rsidRPr="00052C82">
        <w:rPr>
          <w:rFonts w:ascii="Times New Roman" w:eastAsia="Times New Roman" w:hAnsi="Times New Roman" w:cs="Times New Roman"/>
          <w:sz w:val="24"/>
          <w:szCs w:val="24"/>
          <w:lang w:eastAsia="uk-UA"/>
        </w:rPr>
        <w:t xml:space="preserve"> (DSM-5-TR). </w:t>
      </w:r>
      <w:proofErr w:type="spellStart"/>
      <w:r w:rsidRPr="00052C82">
        <w:rPr>
          <w:rFonts w:ascii="Times New Roman" w:eastAsia="Times New Roman" w:hAnsi="Times New Roman" w:cs="Times New Roman"/>
          <w:sz w:val="24"/>
          <w:szCs w:val="24"/>
          <w:lang w:eastAsia="uk-UA"/>
        </w:rPr>
        <w:t>Washington</w:t>
      </w:r>
      <w:proofErr w:type="spellEnd"/>
      <w:r w:rsidRPr="00052C82">
        <w:rPr>
          <w:rFonts w:ascii="Times New Roman" w:eastAsia="Times New Roman" w:hAnsi="Times New Roman" w:cs="Times New Roman"/>
          <w:sz w:val="24"/>
          <w:szCs w:val="24"/>
          <w:lang w:eastAsia="uk-UA"/>
        </w:rPr>
        <w:t xml:space="preserve">, DC: </w:t>
      </w:r>
      <w:proofErr w:type="spellStart"/>
      <w:r w:rsidRPr="00052C82">
        <w:rPr>
          <w:rFonts w:ascii="Times New Roman" w:eastAsia="Times New Roman" w:hAnsi="Times New Roman" w:cs="Times New Roman"/>
          <w:sz w:val="24"/>
          <w:szCs w:val="24"/>
          <w:lang w:eastAsia="uk-UA"/>
        </w:rPr>
        <w:t>American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Psychiatric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Association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Publishing</w:t>
      </w:r>
      <w:proofErr w:type="spellEnd"/>
      <w:r w:rsidRPr="00052C82">
        <w:rPr>
          <w:rFonts w:ascii="Times New Roman" w:eastAsia="Times New Roman" w:hAnsi="Times New Roman" w:cs="Times New Roman"/>
          <w:sz w:val="24"/>
          <w:szCs w:val="24"/>
          <w:lang w:eastAsia="uk-UA"/>
        </w:rPr>
        <w:t>, 2022.</w:t>
      </w:r>
    </w:p>
    <w:p w14:paraId="0DEC8900"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Hyman</w:t>
      </w:r>
      <w:proofErr w:type="spellEnd"/>
      <w:r w:rsidRPr="00052C82">
        <w:rPr>
          <w:rFonts w:ascii="Times New Roman" w:eastAsia="Times New Roman" w:hAnsi="Times New Roman" w:cs="Times New Roman"/>
          <w:sz w:val="24"/>
          <w:szCs w:val="24"/>
          <w:lang w:eastAsia="uk-UA"/>
        </w:rPr>
        <w:t xml:space="preserve"> S. L., </w:t>
      </w:r>
      <w:proofErr w:type="spellStart"/>
      <w:r w:rsidRPr="00052C82">
        <w:rPr>
          <w:rFonts w:ascii="Times New Roman" w:eastAsia="Times New Roman" w:hAnsi="Times New Roman" w:cs="Times New Roman"/>
          <w:sz w:val="24"/>
          <w:szCs w:val="24"/>
          <w:lang w:eastAsia="uk-UA"/>
        </w:rPr>
        <w:t>Levy</w:t>
      </w:r>
      <w:proofErr w:type="spellEnd"/>
      <w:r w:rsidRPr="00052C82">
        <w:rPr>
          <w:rFonts w:ascii="Times New Roman" w:eastAsia="Times New Roman" w:hAnsi="Times New Roman" w:cs="Times New Roman"/>
          <w:sz w:val="24"/>
          <w:szCs w:val="24"/>
          <w:lang w:eastAsia="uk-UA"/>
        </w:rPr>
        <w:t xml:space="preserve"> S. E., </w:t>
      </w:r>
      <w:proofErr w:type="spellStart"/>
      <w:r w:rsidRPr="00052C82">
        <w:rPr>
          <w:rFonts w:ascii="Times New Roman" w:eastAsia="Times New Roman" w:hAnsi="Times New Roman" w:cs="Times New Roman"/>
          <w:sz w:val="24"/>
          <w:szCs w:val="24"/>
          <w:lang w:eastAsia="uk-UA"/>
        </w:rPr>
        <w:t>Myers</w:t>
      </w:r>
      <w:proofErr w:type="spellEnd"/>
      <w:r w:rsidRPr="00052C82">
        <w:rPr>
          <w:rFonts w:ascii="Times New Roman" w:eastAsia="Times New Roman" w:hAnsi="Times New Roman" w:cs="Times New Roman"/>
          <w:sz w:val="24"/>
          <w:szCs w:val="24"/>
          <w:lang w:eastAsia="uk-UA"/>
        </w:rPr>
        <w:t xml:space="preserve"> S. M. </w:t>
      </w:r>
      <w:proofErr w:type="spellStart"/>
      <w:r w:rsidRPr="00052C82">
        <w:rPr>
          <w:rFonts w:ascii="Times New Roman" w:eastAsia="Times New Roman" w:hAnsi="Times New Roman" w:cs="Times New Roman"/>
          <w:sz w:val="24"/>
          <w:szCs w:val="24"/>
          <w:lang w:eastAsia="uk-UA"/>
        </w:rPr>
        <w:t>Identification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Evaluation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Management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of</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Children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With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Spectrum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Pediatrics</w:t>
      </w:r>
      <w:proofErr w:type="spellEnd"/>
      <w:r w:rsidRPr="00052C82">
        <w:rPr>
          <w:rFonts w:ascii="Times New Roman" w:eastAsia="Times New Roman" w:hAnsi="Times New Roman" w:cs="Times New Roman"/>
          <w:sz w:val="24"/>
          <w:szCs w:val="24"/>
          <w:lang w:eastAsia="uk-UA"/>
        </w:rPr>
        <w:t xml:space="preserve">. 2020. </w:t>
      </w:r>
      <w:proofErr w:type="spellStart"/>
      <w:r w:rsidRPr="00052C82">
        <w:rPr>
          <w:rFonts w:ascii="Times New Roman" w:eastAsia="Times New Roman" w:hAnsi="Times New Roman" w:cs="Times New Roman"/>
          <w:sz w:val="24"/>
          <w:szCs w:val="24"/>
          <w:lang w:eastAsia="uk-UA"/>
        </w:rPr>
        <w:t>Vol</w:t>
      </w:r>
      <w:proofErr w:type="spellEnd"/>
      <w:r w:rsidRPr="00052C82">
        <w:rPr>
          <w:rFonts w:ascii="Times New Roman" w:eastAsia="Times New Roman" w:hAnsi="Times New Roman" w:cs="Times New Roman"/>
          <w:sz w:val="24"/>
          <w:szCs w:val="24"/>
          <w:lang w:eastAsia="uk-UA"/>
        </w:rPr>
        <w:t xml:space="preserve">. 145, </w:t>
      </w:r>
      <w:proofErr w:type="spellStart"/>
      <w:r w:rsidRPr="00052C82">
        <w:rPr>
          <w:rFonts w:ascii="Times New Roman" w:eastAsia="Times New Roman" w:hAnsi="Times New Roman" w:cs="Times New Roman"/>
          <w:sz w:val="24"/>
          <w:szCs w:val="24"/>
          <w:lang w:eastAsia="uk-UA"/>
        </w:rPr>
        <w:t>No</w:t>
      </w:r>
      <w:proofErr w:type="spellEnd"/>
      <w:r w:rsidRPr="00052C82">
        <w:rPr>
          <w:rFonts w:ascii="Times New Roman" w:eastAsia="Times New Roman" w:hAnsi="Times New Roman" w:cs="Times New Roman"/>
          <w:sz w:val="24"/>
          <w:szCs w:val="24"/>
          <w:lang w:eastAsia="uk-UA"/>
        </w:rPr>
        <w:t xml:space="preserve">. 1. </w:t>
      </w:r>
      <w:proofErr w:type="spellStart"/>
      <w:r w:rsidRPr="00052C82">
        <w:rPr>
          <w:rFonts w:ascii="Times New Roman" w:eastAsia="Times New Roman" w:hAnsi="Times New Roman" w:cs="Times New Roman"/>
          <w:sz w:val="24"/>
          <w:szCs w:val="24"/>
          <w:lang w:eastAsia="uk-UA"/>
        </w:rPr>
        <w:t>Article</w:t>
      </w:r>
      <w:proofErr w:type="spellEnd"/>
      <w:r w:rsidRPr="00052C82">
        <w:rPr>
          <w:rFonts w:ascii="Times New Roman" w:eastAsia="Times New Roman" w:hAnsi="Times New Roman" w:cs="Times New Roman"/>
          <w:sz w:val="24"/>
          <w:szCs w:val="24"/>
          <w:lang w:eastAsia="uk-UA"/>
        </w:rPr>
        <w:t xml:space="preserve"> e20193447. Клінічний звіт повторно підтверджений у 2025 році. </w:t>
      </w:r>
      <w:hyperlink r:id="rId9" w:history="1">
        <w:r w:rsidRPr="00052C82">
          <w:rPr>
            <w:rFonts w:ascii="Times New Roman" w:eastAsia="Times New Roman" w:hAnsi="Times New Roman" w:cs="Times New Roman"/>
            <w:color w:val="0000FF"/>
            <w:sz w:val="24"/>
            <w:szCs w:val="24"/>
            <w:u w:val="single"/>
            <w:lang w:eastAsia="uk-UA"/>
          </w:rPr>
          <w:t>Матеріал AAP</w:t>
        </w:r>
      </w:hyperlink>
      <w:r w:rsidRPr="00052C82">
        <w:rPr>
          <w:rFonts w:ascii="Times New Roman" w:eastAsia="Times New Roman" w:hAnsi="Times New Roman" w:cs="Times New Roman"/>
          <w:sz w:val="24"/>
          <w:szCs w:val="24"/>
          <w:lang w:eastAsia="uk-UA"/>
        </w:rPr>
        <w:t>.</w:t>
      </w:r>
    </w:p>
    <w:p w14:paraId="46508EA8"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National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Institute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Health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Care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Excellence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spectrum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under</w:t>
      </w:r>
      <w:proofErr w:type="spellEnd"/>
      <w:r w:rsidRPr="00052C82">
        <w:rPr>
          <w:rFonts w:ascii="Times New Roman" w:eastAsia="Times New Roman" w:hAnsi="Times New Roman" w:cs="Times New Roman"/>
          <w:sz w:val="24"/>
          <w:szCs w:val="24"/>
          <w:lang w:eastAsia="uk-UA"/>
        </w:rPr>
        <w:t xml:space="preserve"> 19s: </w:t>
      </w:r>
      <w:proofErr w:type="spellStart"/>
      <w:r w:rsidRPr="00052C82">
        <w:rPr>
          <w:rFonts w:ascii="Times New Roman" w:eastAsia="Times New Roman" w:hAnsi="Times New Roman" w:cs="Times New Roman"/>
          <w:sz w:val="24"/>
          <w:szCs w:val="24"/>
          <w:lang w:eastAsia="uk-UA"/>
        </w:rPr>
        <w:t>recognition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referral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diagnosis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Clinical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guideline</w:t>
      </w:r>
      <w:proofErr w:type="spellEnd"/>
      <w:r w:rsidRPr="00052C82">
        <w:rPr>
          <w:rFonts w:ascii="Times New Roman" w:eastAsia="Times New Roman" w:hAnsi="Times New Roman" w:cs="Times New Roman"/>
          <w:sz w:val="24"/>
          <w:szCs w:val="24"/>
          <w:lang w:eastAsia="uk-UA"/>
        </w:rPr>
        <w:t xml:space="preserve"> CG128. </w:t>
      </w:r>
      <w:hyperlink r:id="rId10" w:history="1">
        <w:r w:rsidRPr="00052C82">
          <w:rPr>
            <w:rFonts w:ascii="Times New Roman" w:eastAsia="Times New Roman" w:hAnsi="Times New Roman" w:cs="Times New Roman"/>
            <w:color w:val="0000FF"/>
            <w:sz w:val="24"/>
            <w:szCs w:val="24"/>
            <w:u w:val="single"/>
            <w:lang w:eastAsia="uk-UA"/>
          </w:rPr>
          <w:t>Клінічні рекомендації NICE</w:t>
        </w:r>
      </w:hyperlink>
      <w:r w:rsidRPr="00052C82">
        <w:rPr>
          <w:rFonts w:ascii="Times New Roman" w:eastAsia="Times New Roman" w:hAnsi="Times New Roman" w:cs="Times New Roman"/>
          <w:sz w:val="24"/>
          <w:szCs w:val="24"/>
          <w:lang w:eastAsia="uk-UA"/>
        </w:rPr>
        <w:t>.</w:t>
      </w:r>
    </w:p>
    <w:p w14:paraId="1B7D8BB7"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National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Institute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Health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Care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Excellence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spectrum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under</w:t>
      </w:r>
      <w:proofErr w:type="spellEnd"/>
      <w:r w:rsidRPr="00052C82">
        <w:rPr>
          <w:rFonts w:ascii="Times New Roman" w:eastAsia="Times New Roman" w:hAnsi="Times New Roman" w:cs="Times New Roman"/>
          <w:sz w:val="24"/>
          <w:szCs w:val="24"/>
          <w:lang w:eastAsia="uk-UA"/>
        </w:rPr>
        <w:t xml:space="preserve"> 19s: </w:t>
      </w:r>
      <w:proofErr w:type="spellStart"/>
      <w:r w:rsidRPr="00052C82">
        <w:rPr>
          <w:rFonts w:ascii="Times New Roman" w:eastAsia="Times New Roman" w:hAnsi="Times New Roman" w:cs="Times New Roman"/>
          <w:sz w:val="24"/>
          <w:szCs w:val="24"/>
          <w:lang w:eastAsia="uk-UA"/>
        </w:rPr>
        <w:t>support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management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Clinical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guideline</w:t>
      </w:r>
      <w:proofErr w:type="spellEnd"/>
      <w:r w:rsidRPr="00052C82">
        <w:rPr>
          <w:rFonts w:ascii="Times New Roman" w:eastAsia="Times New Roman" w:hAnsi="Times New Roman" w:cs="Times New Roman"/>
          <w:sz w:val="24"/>
          <w:szCs w:val="24"/>
          <w:lang w:eastAsia="uk-UA"/>
        </w:rPr>
        <w:t xml:space="preserve"> CG170. </w:t>
      </w:r>
      <w:hyperlink r:id="rId11" w:history="1">
        <w:r w:rsidRPr="00052C82">
          <w:rPr>
            <w:rFonts w:ascii="Times New Roman" w:eastAsia="Times New Roman" w:hAnsi="Times New Roman" w:cs="Times New Roman"/>
            <w:color w:val="0000FF"/>
            <w:sz w:val="24"/>
            <w:szCs w:val="24"/>
            <w:u w:val="single"/>
            <w:lang w:eastAsia="uk-UA"/>
          </w:rPr>
          <w:t>Рекомендації щодо підтримки</w:t>
        </w:r>
      </w:hyperlink>
      <w:r w:rsidRPr="00052C82">
        <w:rPr>
          <w:rFonts w:ascii="Times New Roman" w:eastAsia="Times New Roman" w:hAnsi="Times New Roman" w:cs="Times New Roman"/>
          <w:sz w:val="24"/>
          <w:szCs w:val="24"/>
          <w:lang w:eastAsia="uk-UA"/>
        </w:rPr>
        <w:t>.</w:t>
      </w:r>
    </w:p>
    <w:p w14:paraId="3A65A64D"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Centers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Disease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Control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Prevention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Clinical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Screening</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Spectrum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Disorder</w:t>
      </w:r>
      <w:proofErr w:type="spellEnd"/>
      <w:r w:rsidRPr="00052C82">
        <w:rPr>
          <w:rFonts w:ascii="Times New Roman" w:eastAsia="Times New Roman" w:hAnsi="Times New Roman" w:cs="Times New Roman"/>
          <w:sz w:val="24"/>
          <w:szCs w:val="24"/>
          <w:lang w:eastAsia="uk-UA"/>
        </w:rPr>
        <w:t xml:space="preserve">. Оновлено 2 жовтня 2026 року. </w:t>
      </w:r>
      <w:hyperlink r:id="rId12" w:history="1">
        <w:r w:rsidRPr="00052C82">
          <w:rPr>
            <w:rFonts w:ascii="Times New Roman" w:eastAsia="Times New Roman" w:hAnsi="Times New Roman" w:cs="Times New Roman"/>
            <w:color w:val="0000FF"/>
            <w:sz w:val="24"/>
            <w:szCs w:val="24"/>
            <w:u w:val="single"/>
            <w:lang w:eastAsia="uk-UA"/>
          </w:rPr>
          <w:t>Рекомендації CDC</w:t>
        </w:r>
      </w:hyperlink>
      <w:r w:rsidRPr="00052C82">
        <w:rPr>
          <w:rFonts w:ascii="Times New Roman" w:eastAsia="Times New Roman" w:hAnsi="Times New Roman" w:cs="Times New Roman"/>
          <w:sz w:val="24"/>
          <w:szCs w:val="24"/>
          <w:lang w:eastAsia="uk-UA"/>
        </w:rPr>
        <w:t>.</w:t>
      </w:r>
    </w:p>
    <w:p w14:paraId="68A9A200"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Robins</w:t>
      </w:r>
      <w:proofErr w:type="spellEnd"/>
      <w:r w:rsidRPr="00052C82">
        <w:rPr>
          <w:rFonts w:ascii="Times New Roman" w:eastAsia="Times New Roman" w:hAnsi="Times New Roman" w:cs="Times New Roman"/>
          <w:sz w:val="24"/>
          <w:szCs w:val="24"/>
          <w:lang w:eastAsia="uk-UA"/>
        </w:rPr>
        <w:t xml:space="preserve"> D. L., </w:t>
      </w:r>
      <w:proofErr w:type="spellStart"/>
      <w:r w:rsidRPr="00052C82">
        <w:rPr>
          <w:rFonts w:ascii="Times New Roman" w:eastAsia="Times New Roman" w:hAnsi="Times New Roman" w:cs="Times New Roman"/>
          <w:sz w:val="24"/>
          <w:szCs w:val="24"/>
          <w:lang w:eastAsia="uk-UA"/>
        </w:rPr>
        <w:t>Casagrande</w:t>
      </w:r>
      <w:proofErr w:type="spellEnd"/>
      <w:r w:rsidRPr="00052C82">
        <w:rPr>
          <w:rFonts w:ascii="Times New Roman" w:eastAsia="Times New Roman" w:hAnsi="Times New Roman" w:cs="Times New Roman"/>
          <w:sz w:val="24"/>
          <w:szCs w:val="24"/>
          <w:lang w:eastAsia="uk-UA"/>
        </w:rPr>
        <w:t xml:space="preserve"> K., </w:t>
      </w:r>
      <w:proofErr w:type="spellStart"/>
      <w:r w:rsidRPr="00052C82">
        <w:rPr>
          <w:rFonts w:ascii="Times New Roman" w:eastAsia="Times New Roman" w:hAnsi="Times New Roman" w:cs="Times New Roman"/>
          <w:sz w:val="24"/>
          <w:szCs w:val="24"/>
          <w:lang w:eastAsia="uk-UA"/>
        </w:rPr>
        <w:t>Barton</w:t>
      </w:r>
      <w:proofErr w:type="spellEnd"/>
      <w:r w:rsidRPr="00052C82">
        <w:rPr>
          <w:rFonts w:ascii="Times New Roman" w:eastAsia="Times New Roman" w:hAnsi="Times New Roman" w:cs="Times New Roman"/>
          <w:sz w:val="24"/>
          <w:szCs w:val="24"/>
          <w:lang w:eastAsia="uk-UA"/>
        </w:rPr>
        <w:t xml:space="preserve"> M., </w:t>
      </w:r>
      <w:proofErr w:type="spellStart"/>
      <w:r w:rsidRPr="00052C82">
        <w:rPr>
          <w:rFonts w:ascii="Times New Roman" w:eastAsia="Times New Roman" w:hAnsi="Times New Roman" w:cs="Times New Roman"/>
          <w:sz w:val="24"/>
          <w:szCs w:val="24"/>
          <w:lang w:eastAsia="uk-UA"/>
        </w:rPr>
        <w:t>Chen</w:t>
      </w:r>
      <w:proofErr w:type="spellEnd"/>
      <w:r w:rsidRPr="00052C82">
        <w:rPr>
          <w:rFonts w:ascii="Times New Roman" w:eastAsia="Times New Roman" w:hAnsi="Times New Roman" w:cs="Times New Roman"/>
          <w:sz w:val="24"/>
          <w:szCs w:val="24"/>
          <w:lang w:eastAsia="uk-UA"/>
        </w:rPr>
        <w:t xml:space="preserve"> C.-M. A., </w:t>
      </w:r>
      <w:proofErr w:type="spellStart"/>
      <w:r w:rsidRPr="00052C82">
        <w:rPr>
          <w:rFonts w:ascii="Times New Roman" w:eastAsia="Times New Roman" w:hAnsi="Times New Roman" w:cs="Times New Roman"/>
          <w:sz w:val="24"/>
          <w:szCs w:val="24"/>
          <w:lang w:eastAsia="uk-UA"/>
        </w:rPr>
        <w:t>Dumont-Mathieu</w:t>
      </w:r>
      <w:proofErr w:type="spellEnd"/>
      <w:r w:rsidRPr="00052C82">
        <w:rPr>
          <w:rFonts w:ascii="Times New Roman" w:eastAsia="Times New Roman" w:hAnsi="Times New Roman" w:cs="Times New Roman"/>
          <w:sz w:val="24"/>
          <w:szCs w:val="24"/>
          <w:lang w:eastAsia="uk-UA"/>
        </w:rPr>
        <w:t xml:space="preserve"> T., </w:t>
      </w:r>
      <w:proofErr w:type="spellStart"/>
      <w:r w:rsidRPr="00052C82">
        <w:rPr>
          <w:rFonts w:ascii="Times New Roman" w:eastAsia="Times New Roman" w:hAnsi="Times New Roman" w:cs="Times New Roman"/>
          <w:sz w:val="24"/>
          <w:szCs w:val="24"/>
          <w:lang w:eastAsia="uk-UA"/>
        </w:rPr>
        <w:t>Fein</w:t>
      </w:r>
      <w:proofErr w:type="spellEnd"/>
      <w:r w:rsidRPr="00052C82">
        <w:rPr>
          <w:rFonts w:ascii="Times New Roman" w:eastAsia="Times New Roman" w:hAnsi="Times New Roman" w:cs="Times New Roman"/>
          <w:sz w:val="24"/>
          <w:szCs w:val="24"/>
          <w:lang w:eastAsia="uk-UA"/>
        </w:rPr>
        <w:t xml:space="preserve"> D. </w:t>
      </w:r>
      <w:proofErr w:type="spellStart"/>
      <w:r w:rsidRPr="00052C82">
        <w:rPr>
          <w:rFonts w:ascii="Times New Roman" w:eastAsia="Times New Roman" w:hAnsi="Times New Roman" w:cs="Times New Roman"/>
          <w:sz w:val="24"/>
          <w:szCs w:val="24"/>
          <w:lang w:eastAsia="uk-UA"/>
        </w:rPr>
        <w:t>Validation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of</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the</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Modified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Checklist</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for</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in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Toddlers</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Revised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With</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Follow-up</w:t>
      </w:r>
      <w:proofErr w:type="spellEnd"/>
      <w:r w:rsidRPr="00052C82">
        <w:rPr>
          <w:rFonts w:ascii="Times New Roman" w:eastAsia="Times New Roman" w:hAnsi="Times New Roman" w:cs="Times New Roman"/>
          <w:sz w:val="24"/>
          <w:szCs w:val="24"/>
          <w:lang w:eastAsia="uk-UA"/>
        </w:rPr>
        <w:t xml:space="preserve"> (M-CHAT-R/F). </w:t>
      </w:r>
      <w:proofErr w:type="spellStart"/>
      <w:r w:rsidRPr="00052C82">
        <w:rPr>
          <w:rFonts w:ascii="Times New Roman" w:eastAsia="Times New Roman" w:hAnsi="Times New Roman" w:cs="Times New Roman"/>
          <w:sz w:val="24"/>
          <w:szCs w:val="24"/>
          <w:lang w:eastAsia="uk-UA"/>
        </w:rPr>
        <w:t>Pediatrics</w:t>
      </w:r>
      <w:proofErr w:type="spellEnd"/>
      <w:r w:rsidRPr="00052C82">
        <w:rPr>
          <w:rFonts w:ascii="Times New Roman" w:eastAsia="Times New Roman" w:hAnsi="Times New Roman" w:cs="Times New Roman"/>
          <w:sz w:val="24"/>
          <w:szCs w:val="24"/>
          <w:lang w:eastAsia="uk-UA"/>
        </w:rPr>
        <w:t xml:space="preserve">. 2014. </w:t>
      </w:r>
      <w:proofErr w:type="spellStart"/>
      <w:r w:rsidRPr="00052C82">
        <w:rPr>
          <w:rFonts w:ascii="Times New Roman" w:eastAsia="Times New Roman" w:hAnsi="Times New Roman" w:cs="Times New Roman"/>
          <w:sz w:val="24"/>
          <w:szCs w:val="24"/>
          <w:lang w:eastAsia="uk-UA"/>
        </w:rPr>
        <w:t>Vol</w:t>
      </w:r>
      <w:proofErr w:type="spellEnd"/>
      <w:r w:rsidRPr="00052C82">
        <w:rPr>
          <w:rFonts w:ascii="Times New Roman" w:eastAsia="Times New Roman" w:hAnsi="Times New Roman" w:cs="Times New Roman"/>
          <w:sz w:val="24"/>
          <w:szCs w:val="24"/>
          <w:lang w:eastAsia="uk-UA"/>
        </w:rPr>
        <w:t xml:space="preserve">. 133, </w:t>
      </w:r>
      <w:proofErr w:type="spellStart"/>
      <w:r w:rsidRPr="00052C82">
        <w:rPr>
          <w:rFonts w:ascii="Times New Roman" w:eastAsia="Times New Roman" w:hAnsi="Times New Roman" w:cs="Times New Roman"/>
          <w:sz w:val="24"/>
          <w:szCs w:val="24"/>
          <w:lang w:eastAsia="uk-UA"/>
        </w:rPr>
        <w:t>No</w:t>
      </w:r>
      <w:proofErr w:type="spellEnd"/>
      <w:r w:rsidRPr="00052C82">
        <w:rPr>
          <w:rFonts w:ascii="Times New Roman" w:eastAsia="Times New Roman" w:hAnsi="Times New Roman" w:cs="Times New Roman"/>
          <w:sz w:val="24"/>
          <w:szCs w:val="24"/>
          <w:lang w:eastAsia="uk-UA"/>
        </w:rPr>
        <w:t>. 1. P. 37–45.</w:t>
      </w:r>
    </w:p>
    <w:p w14:paraId="4EB8C586" w14:textId="77777777" w:rsidR="00052C82" w:rsidRPr="00052C82" w:rsidRDefault="00052C82" w:rsidP="00D05728">
      <w:pPr>
        <w:numPr>
          <w:ilvl w:val="0"/>
          <w:numId w:val="4"/>
        </w:numPr>
        <w:spacing w:after="0" w:line="240" w:lineRule="auto"/>
        <w:ind w:firstLine="709"/>
        <w:jc w:val="both"/>
        <w:rPr>
          <w:rFonts w:ascii="Times New Roman" w:eastAsia="Times New Roman" w:hAnsi="Times New Roman" w:cs="Times New Roman"/>
          <w:sz w:val="24"/>
          <w:szCs w:val="24"/>
          <w:lang w:eastAsia="uk-UA"/>
        </w:rPr>
      </w:pPr>
      <w:proofErr w:type="spellStart"/>
      <w:r w:rsidRPr="00052C82">
        <w:rPr>
          <w:rFonts w:ascii="Times New Roman" w:eastAsia="Times New Roman" w:hAnsi="Times New Roman" w:cs="Times New Roman"/>
          <w:sz w:val="24"/>
          <w:szCs w:val="24"/>
          <w:lang w:eastAsia="uk-UA"/>
        </w:rPr>
        <w:t>Lord</w:t>
      </w:r>
      <w:proofErr w:type="spellEnd"/>
      <w:r w:rsidRPr="00052C82">
        <w:rPr>
          <w:rFonts w:ascii="Times New Roman" w:eastAsia="Times New Roman" w:hAnsi="Times New Roman" w:cs="Times New Roman"/>
          <w:sz w:val="24"/>
          <w:szCs w:val="24"/>
          <w:lang w:eastAsia="uk-UA"/>
        </w:rPr>
        <w:t xml:space="preserve"> C., </w:t>
      </w:r>
      <w:proofErr w:type="spellStart"/>
      <w:r w:rsidRPr="00052C82">
        <w:rPr>
          <w:rFonts w:ascii="Times New Roman" w:eastAsia="Times New Roman" w:hAnsi="Times New Roman" w:cs="Times New Roman"/>
          <w:sz w:val="24"/>
          <w:szCs w:val="24"/>
          <w:lang w:eastAsia="uk-UA"/>
        </w:rPr>
        <w:t>Rutter</w:t>
      </w:r>
      <w:proofErr w:type="spellEnd"/>
      <w:r w:rsidRPr="00052C82">
        <w:rPr>
          <w:rFonts w:ascii="Times New Roman" w:eastAsia="Times New Roman" w:hAnsi="Times New Roman" w:cs="Times New Roman"/>
          <w:sz w:val="24"/>
          <w:szCs w:val="24"/>
          <w:lang w:eastAsia="uk-UA"/>
        </w:rPr>
        <w:t xml:space="preserve"> M., </w:t>
      </w:r>
      <w:proofErr w:type="spellStart"/>
      <w:r w:rsidRPr="00052C82">
        <w:rPr>
          <w:rFonts w:ascii="Times New Roman" w:eastAsia="Times New Roman" w:hAnsi="Times New Roman" w:cs="Times New Roman"/>
          <w:sz w:val="24"/>
          <w:szCs w:val="24"/>
          <w:lang w:eastAsia="uk-UA"/>
        </w:rPr>
        <w:t>DiLavore</w:t>
      </w:r>
      <w:proofErr w:type="spellEnd"/>
      <w:r w:rsidRPr="00052C82">
        <w:rPr>
          <w:rFonts w:ascii="Times New Roman" w:eastAsia="Times New Roman" w:hAnsi="Times New Roman" w:cs="Times New Roman"/>
          <w:sz w:val="24"/>
          <w:szCs w:val="24"/>
          <w:lang w:eastAsia="uk-UA"/>
        </w:rPr>
        <w:t xml:space="preserve"> P. C., </w:t>
      </w:r>
      <w:proofErr w:type="spellStart"/>
      <w:r w:rsidRPr="00052C82">
        <w:rPr>
          <w:rFonts w:ascii="Times New Roman" w:eastAsia="Times New Roman" w:hAnsi="Times New Roman" w:cs="Times New Roman"/>
          <w:sz w:val="24"/>
          <w:szCs w:val="24"/>
          <w:lang w:eastAsia="uk-UA"/>
        </w:rPr>
        <w:t>Risi</w:t>
      </w:r>
      <w:proofErr w:type="spellEnd"/>
      <w:r w:rsidRPr="00052C82">
        <w:rPr>
          <w:rFonts w:ascii="Times New Roman" w:eastAsia="Times New Roman" w:hAnsi="Times New Roman" w:cs="Times New Roman"/>
          <w:sz w:val="24"/>
          <w:szCs w:val="24"/>
          <w:lang w:eastAsia="uk-UA"/>
        </w:rPr>
        <w:t xml:space="preserve"> S., </w:t>
      </w:r>
      <w:proofErr w:type="spellStart"/>
      <w:r w:rsidRPr="00052C82">
        <w:rPr>
          <w:rFonts w:ascii="Times New Roman" w:eastAsia="Times New Roman" w:hAnsi="Times New Roman" w:cs="Times New Roman"/>
          <w:sz w:val="24"/>
          <w:szCs w:val="24"/>
          <w:lang w:eastAsia="uk-UA"/>
        </w:rPr>
        <w:t>Gotham</w:t>
      </w:r>
      <w:proofErr w:type="spellEnd"/>
      <w:r w:rsidRPr="00052C82">
        <w:rPr>
          <w:rFonts w:ascii="Times New Roman" w:eastAsia="Times New Roman" w:hAnsi="Times New Roman" w:cs="Times New Roman"/>
          <w:sz w:val="24"/>
          <w:szCs w:val="24"/>
          <w:lang w:eastAsia="uk-UA"/>
        </w:rPr>
        <w:t xml:space="preserve"> K., </w:t>
      </w:r>
      <w:proofErr w:type="spellStart"/>
      <w:r w:rsidRPr="00052C82">
        <w:rPr>
          <w:rFonts w:ascii="Times New Roman" w:eastAsia="Times New Roman" w:hAnsi="Times New Roman" w:cs="Times New Roman"/>
          <w:sz w:val="24"/>
          <w:szCs w:val="24"/>
          <w:lang w:eastAsia="uk-UA"/>
        </w:rPr>
        <w:t>Bishop</w:t>
      </w:r>
      <w:proofErr w:type="spellEnd"/>
      <w:r w:rsidRPr="00052C82">
        <w:rPr>
          <w:rFonts w:ascii="Times New Roman" w:eastAsia="Times New Roman" w:hAnsi="Times New Roman" w:cs="Times New Roman"/>
          <w:sz w:val="24"/>
          <w:szCs w:val="24"/>
          <w:lang w:eastAsia="uk-UA"/>
        </w:rPr>
        <w:t xml:space="preserve"> S. </w:t>
      </w:r>
      <w:proofErr w:type="spellStart"/>
      <w:r w:rsidRPr="00052C82">
        <w:rPr>
          <w:rFonts w:ascii="Times New Roman" w:eastAsia="Times New Roman" w:hAnsi="Times New Roman" w:cs="Times New Roman"/>
          <w:sz w:val="24"/>
          <w:szCs w:val="24"/>
          <w:lang w:eastAsia="uk-UA"/>
        </w:rPr>
        <w:t>Autism</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Diagnostic</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Observation</w:t>
      </w:r>
      <w:proofErr w:type="spellEnd"/>
      <w:r w:rsidRPr="00052C82">
        <w:rPr>
          <w:rFonts w:ascii="Times New Roman" w:eastAsia="Times New Roman" w:hAnsi="Times New Roman" w:cs="Times New Roman"/>
          <w:sz w:val="24"/>
          <w:szCs w:val="24"/>
          <w:lang w:eastAsia="uk-UA"/>
        </w:rPr>
        <w:t xml:space="preserve"> Schedule, </w:t>
      </w:r>
      <w:proofErr w:type="spellStart"/>
      <w:r w:rsidRPr="00052C82">
        <w:rPr>
          <w:rFonts w:ascii="Times New Roman" w:eastAsia="Times New Roman" w:hAnsi="Times New Roman" w:cs="Times New Roman"/>
          <w:sz w:val="24"/>
          <w:szCs w:val="24"/>
          <w:lang w:eastAsia="uk-UA"/>
        </w:rPr>
        <w:t>Second</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Edition</w:t>
      </w:r>
      <w:proofErr w:type="spellEnd"/>
      <w:r w:rsidRPr="00052C82">
        <w:rPr>
          <w:rFonts w:ascii="Times New Roman" w:eastAsia="Times New Roman" w:hAnsi="Times New Roman" w:cs="Times New Roman"/>
          <w:sz w:val="24"/>
          <w:szCs w:val="24"/>
          <w:lang w:eastAsia="uk-UA"/>
        </w:rPr>
        <w:t xml:space="preserve"> (ADOS-2). </w:t>
      </w:r>
      <w:proofErr w:type="spellStart"/>
      <w:r w:rsidRPr="00052C82">
        <w:rPr>
          <w:rFonts w:ascii="Times New Roman" w:eastAsia="Times New Roman" w:hAnsi="Times New Roman" w:cs="Times New Roman"/>
          <w:sz w:val="24"/>
          <w:szCs w:val="24"/>
          <w:lang w:eastAsia="uk-UA"/>
        </w:rPr>
        <w:t>Torrance</w:t>
      </w:r>
      <w:proofErr w:type="spellEnd"/>
      <w:r w:rsidRPr="00052C82">
        <w:rPr>
          <w:rFonts w:ascii="Times New Roman" w:eastAsia="Times New Roman" w:hAnsi="Times New Roman" w:cs="Times New Roman"/>
          <w:sz w:val="24"/>
          <w:szCs w:val="24"/>
          <w:lang w:eastAsia="uk-UA"/>
        </w:rPr>
        <w:t xml:space="preserve">, CA: </w:t>
      </w:r>
      <w:proofErr w:type="spellStart"/>
      <w:r w:rsidRPr="00052C82">
        <w:rPr>
          <w:rFonts w:ascii="Times New Roman" w:eastAsia="Times New Roman" w:hAnsi="Times New Roman" w:cs="Times New Roman"/>
          <w:sz w:val="24"/>
          <w:szCs w:val="24"/>
          <w:lang w:eastAsia="uk-UA"/>
        </w:rPr>
        <w:t>Western</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Psychological</w:t>
      </w:r>
      <w:proofErr w:type="spellEnd"/>
      <w:r w:rsidRPr="00052C82">
        <w:rPr>
          <w:rFonts w:ascii="Times New Roman" w:eastAsia="Times New Roman" w:hAnsi="Times New Roman" w:cs="Times New Roman"/>
          <w:sz w:val="24"/>
          <w:szCs w:val="24"/>
          <w:lang w:eastAsia="uk-UA"/>
        </w:rPr>
        <w:t xml:space="preserve"> </w:t>
      </w:r>
      <w:proofErr w:type="spellStart"/>
      <w:r w:rsidRPr="00052C82">
        <w:rPr>
          <w:rFonts w:ascii="Times New Roman" w:eastAsia="Times New Roman" w:hAnsi="Times New Roman" w:cs="Times New Roman"/>
          <w:sz w:val="24"/>
          <w:szCs w:val="24"/>
          <w:lang w:eastAsia="uk-UA"/>
        </w:rPr>
        <w:t>Services</w:t>
      </w:r>
      <w:proofErr w:type="spellEnd"/>
      <w:r w:rsidRPr="00052C82">
        <w:rPr>
          <w:rFonts w:ascii="Times New Roman" w:eastAsia="Times New Roman" w:hAnsi="Times New Roman" w:cs="Times New Roman"/>
          <w:sz w:val="24"/>
          <w:szCs w:val="24"/>
          <w:lang w:eastAsia="uk-UA"/>
        </w:rPr>
        <w:t>, 2012.</w:t>
      </w:r>
    </w:p>
    <w:p w14:paraId="4AB6B953" w14:textId="77777777" w:rsidR="00052C82" w:rsidRPr="00D05728" w:rsidRDefault="00052C82" w:rsidP="00D05728">
      <w:pPr>
        <w:spacing w:after="0"/>
        <w:ind w:firstLine="709"/>
        <w:jc w:val="both"/>
        <w:rPr>
          <w:rFonts w:ascii="Times New Roman" w:hAnsi="Times New Roman" w:cs="Times New Roman"/>
          <w:sz w:val="24"/>
          <w:szCs w:val="24"/>
        </w:rPr>
      </w:pPr>
    </w:p>
    <w:sectPr w:rsidR="00052C82" w:rsidRPr="00D05728" w:rsidSect="00052C82">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445D3"/>
    <w:multiLevelType w:val="hybridMultilevel"/>
    <w:tmpl w:val="C53E5D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4252D6A"/>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0E6E65"/>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AFA52DD"/>
    <w:multiLevelType w:val="multilevel"/>
    <w:tmpl w:val="188C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C82"/>
    <w:rsid w:val="00052C82"/>
    <w:rsid w:val="002A4989"/>
    <w:rsid w:val="0046585E"/>
    <w:rsid w:val="00D057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A275"/>
  <w15:chartTrackingRefBased/>
  <w15:docId w15:val="{338FB5DC-33A4-483C-89E0-E455EA98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2C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121127">
      <w:bodyDiv w:val="1"/>
      <w:marLeft w:val="0"/>
      <w:marRight w:val="0"/>
      <w:marTop w:val="0"/>
      <w:marBottom w:val="0"/>
      <w:divBdr>
        <w:top w:val="none" w:sz="0" w:space="0" w:color="auto"/>
        <w:left w:val="none" w:sz="0" w:space="0" w:color="auto"/>
        <w:bottom w:val="none" w:sz="0" w:space="0" w:color="auto"/>
        <w:right w:val="none" w:sz="0" w:space="0" w:color="auto"/>
      </w:divBdr>
      <w:divsChild>
        <w:div w:id="1086074753">
          <w:marLeft w:val="0"/>
          <w:marRight w:val="0"/>
          <w:marTop w:val="0"/>
          <w:marBottom w:val="0"/>
          <w:divBdr>
            <w:top w:val="none" w:sz="0" w:space="0" w:color="auto"/>
            <w:left w:val="none" w:sz="0" w:space="0" w:color="auto"/>
            <w:bottom w:val="none" w:sz="0" w:space="0" w:color="auto"/>
            <w:right w:val="none" w:sz="0" w:space="0" w:color="auto"/>
          </w:divBdr>
          <w:divsChild>
            <w:div w:id="1970089939">
              <w:marLeft w:val="0"/>
              <w:marRight w:val="0"/>
              <w:marTop w:val="0"/>
              <w:marBottom w:val="0"/>
              <w:divBdr>
                <w:top w:val="none" w:sz="0" w:space="0" w:color="auto"/>
                <w:left w:val="none" w:sz="0" w:space="0" w:color="auto"/>
                <w:bottom w:val="none" w:sz="0" w:space="0" w:color="auto"/>
                <w:right w:val="none" w:sz="0" w:space="0" w:color="auto"/>
              </w:divBdr>
            </w:div>
          </w:divsChild>
        </w:div>
        <w:div w:id="1831360303">
          <w:marLeft w:val="0"/>
          <w:marRight w:val="0"/>
          <w:marTop w:val="0"/>
          <w:marBottom w:val="0"/>
          <w:divBdr>
            <w:top w:val="none" w:sz="0" w:space="0" w:color="auto"/>
            <w:left w:val="none" w:sz="0" w:space="0" w:color="auto"/>
            <w:bottom w:val="none" w:sz="0" w:space="0" w:color="auto"/>
            <w:right w:val="none" w:sz="0" w:space="0" w:color="auto"/>
          </w:divBdr>
          <w:divsChild>
            <w:div w:id="1878347671">
              <w:marLeft w:val="0"/>
              <w:marRight w:val="0"/>
              <w:marTop w:val="0"/>
              <w:marBottom w:val="0"/>
              <w:divBdr>
                <w:top w:val="none" w:sz="0" w:space="0" w:color="auto"/>
                <w:left w:val="none" w:sz="0" w:space="0" w:color="auto"/>
                <w:bottom w:val="none" w:sz="0" w:space="0" w:color="auto"/>
                <w:right w:val="none" w:sz="0" w:space="0" w:color="auto"/>
              </w:divBdr>
            </w:div>
          </w:divsChild>
        </w:div>
        <w:div w:id="1492867953">
          <w:marLeft w:val="0"/>
          <w:marRight w:val="0"/>
          <w:marTop w:val="0"/>
          <w:marBottom w:val="0"/>
          <w:divBdr>
            <w:top w:val="none" w:sz="0" w:space="0" w:color="auto"/>
            <w:left w:val="none" w:sz="0" w:space="0" w:color="auto"/>
            <w:bottom w:val="none" w:sz="0" w:space="0" w:color="auto"/>
            <w:right w:val="none" w:sz="0" w:space="0" w:color="auto"/>
          </w:divBdr>
          <w:divsChild>
            <w:div w:id="907301275">
              <w:marLeft w:val="0"/>
              <w:marRight w:val="0"/>
              <w:marTop w:val="0"/>
              <w:marBottom w:val="0"/>
              <w:divBdr>
                <w:top w:val="none" w:sz="0" w:space="0" w:color="auto"/>
                <w:left w:val="none" w:sz="0" w:space="0" w:color="auto"/>
                <w:bottom w:val="none" w:sz="0" w:space="0" w:color="auto"/>
                <w:right w:val="none" w:sz="0" w:space="0" w:color="auto"/>
              </w:divBdr>
            </w:div>
          </w:divsChild>
        </w:div>
        <w:div w:id="1350716805">
          <w:marLeft w:val="0"/>
          <w:marRight w:val="0"/>
          <w:marTop w:val="0"/>
          <w:marBottom w:val="0"/>
          <w:divBdr>
            <w:top w:val="none" w:sz="0" w:space="0" w:color="auto"/>
            <w:left w:val="none" w:sz="0" w:space="0" w:color="auto"/>
            <w:bottom w:val="none" w:sz="0" w:space="0" w:color="auto"/>
            <w:right w:val="none" w:sz="0" w:space="0" w:color="auto"/>
          </w:divBdr>
          <w:divsChild>
            <w:div w:id="537008325">
              <w:marLeft w:val="0"/>
              <w:marRight w:val="0"/>
              <w:marTop w:val="0"/>
              <w:marBottom w:val="0"/>
              <w:divBdr>
                <w:top w:val="none" w:sz="0" w:space="0" w:color="auto"/>
                <w:left w:val="none" w:sz="0" w:space="0" w:color="auto"/>
                <w:bottom w:val="none" w:sz="0" w:space="0" w:color="auto"/>
                <w:right w:val="none" w:sz="0" w:space="0" w:color="auto"/>
              </w:divBdr>
            </w:div>
          </w:divsChild>
        </w:div>
        <w:div w:id="1712345766">
          <w:marLeft w:val="0"/>
          <w:marRight w:val="0"/>
          <w:marTop w:val="0"/>
          <w:marBottom w:val="0"/>
          <w:divBdr>
            <w:top w:val="none" w:sz="0" w:space="0" w:color="auto"/>
            <w:left w:val="none" w:sz="0" w:space="0" w:color="auto"/>
            <w:bottom w:val="none" w:sz="0" w:space="0" w:color="auto"/>
            <w:right w:val="none" w:sz="0" w:space="0" w:color="auto"/>
          </w:divBdr>
          <w:divsChild>
            <w:div w:id="209344924">
              <w:marLeft w:val="0"/>
              <w:marRight w:val="0"/>
              <w:marTop w:val="0"/>
              <w:marBottom w:val="0"/>
              <w:divBdr>
                <w:top w:val="none" w:sz="0" w:space="0" w:color="auto"/>
                <w:left w:val="none" w:sz="0" w:space="0" w:color="auto"/>
                <w:bottom w:val="none" w:sz="0" w:space="0" w:color="auto"/>
                <w:right w:val="none" w:sz="0" w:space="0" w:color="auto"/>
              </w:divBdr>
            </w:div>
          </w:divsChild>
        </w:div>
        <w:div w:id="786656502">
          <w:marLeft w:val="0"/>
          <w:marRight w:val="0"/>
          <w:marTop w:val="0"/>
          <w:marBottom w:val="0"/>
          <w:divBdr>
            <w:top w:val="none" w:sz="0" w:space="0" w:color="auto"/>
            <w:left w:val="none" w:sz="0" w:space="0" w:color="auto"/>
            <w:bottom w:val="none" w:sz="0" w:space="0" w:color="auto"/>
            <w:right w:val="none" w:sz="0" w:space="0" w:color="auto"/>
          </w:divBdr>
          <w:divsChild>
            <w:div w:id="1292713522">
              <w:marLeft w:val="0"/>
              <w:marRight w:val="0"/>
              <w:marTop w:val="0"/>
              <w:marBottom w:val="0"/>
              <w:divBdr>
                <w:top w:val="none" w:sz="0" w:space="0" w:color="auto"/>
                <w:left w:val="none" w:sz="0" w:space="0" w:color="auto"/>
                <w:bottom w:val="none" w:sz="0" w:space="0" w:color="auto"/>
                <w:right w:val="none" w:sz="0" w:space="0" w:color="auto"/>
              </w:divBdr>
            </w:div>
          </w:divsChild>
        </w:div>
        <w:div w:id="1000697483">
          <w:marLeft w:val="0"/>
          <w:marRight w:val="0"/>
          <w:marTop w:val="0"/>
          <w:marBottom w:val="0"/>
          <w:divBdr>
            <w:top w:val="none" w:sz="0" w:space="0" w:color="auto"/>
            <w:left w:val="none" w:sz="0" w:space="0" w:color="auto"/>
            <w:bottom w:val="none" w:sz="0" w:space="0" w:color="auto"/>
            <w:right w:val="none" w:sz="0" w:space="0" w:color="auto"/>
          </w:divBdr>
          <w:divsChild>
            <w:div w:id="953289870">
              <w:marLeft w:val="0"/>
              <w:marRight w:val="0"/>
              <w:marTop w:val="0"/>
              <w:marBottom w:val="0"/>
              <w:divBdr>
                <w:top w:val="none" w:sz="0" w:space="0" w:color="auto"/>
                <w:left w:val="none" w:sz="0" w:space="0" w:color="auto"/>
                <w:bottom w:val="none" w:sz="0" w:space="0" w:color="auto"/>
                <w:right w:val="none" w:sz="0" w:space="0" w:color="auto"/>
              </w:divBdr>
            </w:div>
          </w:divsChild>
        </w:div>
        <w:div w:id="876695937">
          <w:marLeft w:val="0"/>
          <w:marRight w:val="0"/>
          <w:marTop w:val="0"/>
          <w:marBottom w:val="0"/>
          <w:divBdr>
            <w:top w:val="none" w:sz="0" w:space="0" w:color="auto"/>
            <w:left w:val="none" w:sz="0" w:space="0" w:color="auto"/>
            <w:bottom w:val="none" w:sz="0" w:space="0" w:color="auto"/>
            <w:right w:val="none" w:sz="0" w:space="0" w:color="auto"/>
          </w:divBdr>
          <w:divsChild>
            <w:div w:id="166235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88189">
      <w:bodyDiv w:val="1"/>
      <w:marLeft w:val="0"/>
      <w:marRight w:val="0"/>
      <w:marTop w:val="0"/>
      <w:marBottom w:val="0"/>
      <w:divBdr>
        <w:top w:val="none" w:sz="0" w:space="0" w:color="auto"/>
        <w:left w:val="none" w:sz="0" w:space="0" w:color="auto"/>
        <w:bottom w:val="none" w:sz="0" w:space="0" w:color="auto"/>
        <w:right w:val="none" w:sz="0" w:space="0" w:color="auto"/>
      </w:divBdr>
      <w:divsChild>
        <w:div w:id="1230463836">
          <w:marLeft w:val="0"/>
          <w:marRight w:val="0"/>
          <w:marTop w:val="0"/>
          <w:marBottom w:val="0"/>
          <w:divBdr>
            <w:top w:val="none" w:sz="0" w:space="0" w:color="auto"/>
            <w:left w:val="none" w:sz="0" w:space="0" w:color="auto"/>
            <w:bottom w:val="none" w:sz="0" w:space="0" w:color="auto"/>
            <w:right w:val="none" w:sz="0" w:space="0" w:color="auto"/>
          </w:divBdr>
          <w:divsChild>
            <w:div w:id="1735275022">
              <w:marLeft w:val="0"/>
              <w:marRight w:val="0"/>
              <w:marTop w:val="0"/>
              <w:marBottom w:val="0"/>
              <w:divBdr>
                <w:top w:val="none" w:sz="0" w:space="0" w:color="auto"/>
                <w:left w:val="none" w:sz="0" w:space="0" w:color="auto"/>
                <w:bottom w:val="none" w:sz="0" w:space="0" w:color="auto"/>
                <w:right w:val="none" w:sz="0" w:space="0" w:color="auto"/>
              </w:divBdr>
              <w:divsChild>
                <w:div w:id="1464616958">
                  <w:marLeft w:val="0"/>
                  <w:marRight w:val="0"/>
                  <w:marTop w:val="0"/>
                  <w:marBottom w:val="0"/>
                  <w:divBdr>
                    <w:top w:val="none" w:sz="0" w:space="0" w:color="auto"/>
                    <w:left w:val="none" w:sz="0" w:space="0" w:color="auto"/>
                    <w:bottom w:val="none" w:sz="0" w:space="0" w:color="auto"/>
                    <w:right w:val="none" w:sz="0" w:space="0" w:color="auto"/>
                  </w:divBdr>
                </w:div>
              </w:divsChild>
            </w:div>
            <w:div w:id="1984843883">
              <w:marLeft w:val="0"/>
              <w:marRight w:val="0"/>
              <w:marTop w:val="0"/>
              <w:marBottom w:val="0"/>
              <w:divBdr>
                <w:top w:val="none" w:sz="0" w:space="0" w:color="auto"/>
                <w:left w:val="none" w:sz="0" w:space="0" w:color="auto"/>
                <w:bottom w:val="none" w:sz="0" w:space="0" w:color="auto"/>
                <w:right w:val="none" w:sz="0" w:space="0" w:color="auto"/>
              </w:divBdr>
              <w:divsChild>
                <w:div w:id="1770150733">
                  <w:marLeft w:val="0"/>
                  <w:marRight w:val="0"/>
                  <w:marTop w:val="0"/>
                  <w:marBottom w:val="0"/>
                  <w:divBdr>
                    <w:top w:val="none" w:sz="0" w:space="0" w:color="auto"/>
                    <w:left w:val="none" w:sz="0" w:space="0" w:color="auto"/>
                    <w:bottom w:val="none" w:sz="0" w:space="0" w:color="auto"/>
                    <w:right w:val="none" w:sz="0" w:space="0" w:color="auto"/>
                  </w:divBdr>
                </w:div>
                <w:div w:id="9852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7452">
          <w:marLeft w:val="0"/>
          <w:marRight w:val="0"/>
          <w:marTop w:val="0"/>
          <w:marBottom w:val="0"/>
          <w:divBdr>
            <w:top w:val="none" w:sz="0" w:space="0" w:color="auto"/>
            <w:left w:val="none" w:sz="0" w:space="0" w:color="auto"/>
            <w:bottom w:val="none" w:sz="0" w:space="0" w:color="auto"/>
            <w:right w:val="none" w:sz="0" w:space="0" w:color="auto"/>
          </w:divBdr>
          <w:divsChild>
            <w:div w:id="744570945">
              <w:marLeft w:val="0"/>
              <w:marRight w:val="0"/>
              <w:marTop w:val="0"/>
              <w:marBottom w:val="0"/>
              <w:divBdr>
                <w:top w:val="none" w:sz="0" w:space="0" w:color="auto"/>
                <w:left w:val="none" w:sz="0" w:space="0" w:color="auto"/>
                <w:bottom w:val="none" w:sz="0" w:space="0" w:color="auto"/>
                <w:right w:val="none" w:sz="0" w:space="0" w:color="auto"/>
              </w:divBdr>
              <w:divsChild>
                <w:div w:id="1460226608">
                  <w:marLeft w:val="0"/>
                  <w:marRight w:val="0"/>
                  <w:marTop w:val="0"/>
                  <w:marBottom w:val="0"/>
                  <w:divBdr>
                    <w:top w:val="none" w:sz="0" w:space="0" w:color="auto"/>
                    <w:left w:val="none" w:sz="0" w:space="0" w:color="auto"/>
                    <w:bottom w:val="none" w:sz="0" w:space="0" w:color="auto"/>
                    <w:right w:val="none" w:sz="0" w:space="0" w:color="auto"/>
                  </w:divBdr>
                </w:div>
              </w:divsChild>
            </w:div>
            <w:div w:id="759259199">
              <w:marLeft w:val="0"/>
              <w:marRight w:val="0"/>
              <w:marTop w:val="0"/>
              <w:marBottom w:val="0"/>
              <w:divBdr>
                <w:top w:val="none" w:sz="0" w:space="0" w:color="auto"/>
                <w:left w:val="none" w:sz="0" w:space="0" w:color="auto"/>
                <w:bottom w:val="none" w:sz="0" w:space="0" w:color="auto"/>
                <w:right w:val="none" w:sz="0" w:space="0" w:color="auto"/>
              </w:divBdr>
              <w:divsChild>
                <w:div w:id="5503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9275">
          <w:marLeft w:val="0"/>
          <w:marRight w:val="0"/>
          <w:marTop w:val="0"/>
          <w:marBottom w:val="0"/>
          <w:divBdr>
            <w:top w:val="none" w:sz="0" w:space="0" w:color="auto"/>
            <w:left w:val="none" w:sz="0" w:space="0" w:color="auto"/>
            <w:bottom w:val="none" w:sz="0" w:space="0" w:color="auto"/>
            <w:right w:val="none" w:sz="0" w:space="0" w:color="auto"/>
          </w:divBdr>
          <w:divsChild>
            <w:div w:id="424618156">
              <w:marLeft w:val="0"/>
              <w:marRight w:val="0"/>
              <w:marTop w:val="0"/>
              <w:marBottom w:val="0"/>
              <w:divBdr>
                <w:top w:val="none" w:sz="0" w:space="0" w:color="auto"/>
                <w:left w:val="none" w:sz="0" w:space="0" w:color="auto"/>
                <w:bottom w:val="none" w:sz="0" w:space="0" w:color="auto"/>
                <w:right w:val="none" w:sz="0" w:space="0" w:color="auto"/>
              </w:divBdr>
              <w:divsChild>
                <w:div w:id="163596010">
                  <w:marLeft w:val="0"/>
                  <w:marRight w:val="0"/>
                  <w:marTop w:val="0"/>
                  <w:marBottom w:val="0"/>
                  <w:divBdr>
                    <w:top w:val="none" w:sz="0" w:space="0" w:color="auto"/>
                    <w:left w:val="none" w:sz="0" w:space="0" w:color="auto"/>
                    <w:bottom w:val="none" w:sz="0" w:space="0" w:color="auto"/>
                    <w:right w:val="none" w:sz="0" w:space="0" w:color="auto"/>
                  </w:divBdr>
                </w:div>
              </w:divsChild>
            </w:div>
            <w:div w:id="1857187527">
              <w:marLeft w:val="0"/>
              <w:marRight w:val="0"/>
              <w:marTop w:val="0"/>
              <w:marBottom w:val="0"/>
              <w:divBdr>
                <w:top w:val="none" w:sz="0" w:space="0" w:color="auto"/>
                <w:left w:val="none" w:sz="0" w:space="0" w:color="auto"/>
                <w:bottom w:val="none" w:sz="0" w:space="0" w:color="auto"/>
                <w:right w:val="none" w:sz="0" w:space="0" w:color="auto"/>
              </w:divBdr>
              <w:divsChild>
                <w:div w:id="151495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43676">
          <w:marLeft w:val="0"/>
          <w:marRight w:val="0"/>
          <w:marTop w:val="0"/>
          <w:marBottom w:val="0"/>
          <w:divBdr>
            <w:top w:val="none" w:sz="0" w:space="0" w:color="auto"/>
            <w:left w:val="none" w:sz="0" w:space="0" w:color="auto"/>
            <w:bottom w:val="none" w:sz="0" w:space="0" w:color="auto"/>
            <w:right w:val="none" w:sz="0" w:space="0" w:color="auto"/>
          </w:divBdr>
          <w:divsChild>
            <w:div w:id="865291102">
              <w:marLeft w:val="0"/>
              <w:marRight w:val="0"/>
              <w:marTop w:val="0"/>
              <w:marBottom w:val="0"/>
              <w:divBdr>
                <w:top w:val="none" w:sz="0" w:space="0" w:color="auto"/>
                <w:left w:val="none" w:sz="0" w:space="0" w:color="auto"/>
                <w:bottom w:val="none" w:sz="0" w:space="0" w:color="auto"/>
                <w:right w:val="none" w:sz="0" w:space="0" w:color="auto"/>
              </w:divBdr>
              <w:divsChild>
                <w:div w:id="1471048579">
                  <w:marLeft w:val="0"/>
                  <w:marRight w:val="0"/>
                  <w:marTop w:val="0"/>
                  <w:marBottom w:val="0"/>
                  <w:divBdr>
                    <w:top w:val="none" w:sz="0" w:space="0" w:color="auto"/>
                    <w:left w:val="none" w:sz="0" w:space="0" w:color="auto"/>
                    <w:bottom w:val="none" w:sz="0" w:space="0" w:color="auto"/>
                    <w:right w:val="none" w:sz="0" w:space="0" w:color="auto"/>
                  </w:divBdr>
                </w:div>
              </w:divsChild>
            </w:div>
            <w:div w:id="1714309768">
              <w:marLeft w:val="0"/>
              <w:marRight w:val="0"/>
              <w:marTop w:val="0"/>
              <w:marBottom w:val="0"/>
              <w:divBdr>
                <w:top w:val="none" w:sz="0" w:space="0" w:color="auto"/>
                <w:left w:val="none" w:sz="0" w:space="0" w:color="auto"/>
                <w:bottom w:val="none" w:sz="0" w:space="0" w:color="auto"/>
                <w:right w:val="none" w:sz="0" w:space="0" w:color="auto"/>
              </w:divBdr>
              <w:divsChild>
                <w:div w:id="18270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0641">
          <w:marLeft w:val="0"/>
          <w:marRight w:val="0"/>
          <w:marTop w:val="0"/>
          <w:marBottom w:val="0"/>
          <w:divBdr>
            <w:top w:val="none" w:sz="0" w:space="0" w:color="auto"/>
            <w:left w:val="none" w:sz="0" w:space="0" w:color="auto"/>
            <w:bottom w:val="none" w:sz="0" w:space="0" w:color="auto"/>
            <w:right w:val="none" w:sz="0" w:space="0" w:color="auto"/>
          </w:divBdr>
          <w:divsChild>
            <w:div w:id="116870907">
              <w:marLeft w:val="0"/>
              <w:marRight w:val="0"/>
              <w:marTop w:val="0"/>
              <w:marBottom w:val="0"/>
              <w:divBdr>
                <w:top w:val="none" w:sz="0" w:space="0" w:color="auto"/>
                <w:left w:val="none" w:sz="0" w:space="0" w:color="auto"/>
                <w:bottom w:val="none" w:sz="0" w:space="0" w:color="auto"/>
                <w:right w:val="none" w:sz="0" w:space="0" w:color="auto"/>
              </w:divBdr>
              <w:divsChild>
                <w:div w:id="147283544">
                  <w:marLeft w:val="0"/>
                  <w:marRight w:val="0"/>
                  <w:marTop w:val="0"/>
                  <w:marBottom w:val="0"/>
                  <w:divBdr>
                    <w:top w:val="none" w:sz="0" w:space="0" w:color="auto"/>
                    <w:left w:val="none" w:sz="0" w:space="0" w:color="auto"/>
                    <w:bottom w:val="none" w:sz="0" w:space="0" w:color="auto"/>
                    <w:right w:val="none" w:sz="0" w:space="0" w:color="auto"/>
                  </w:divBdr>
                </w:div>
              </w:divsChild>
            </w:div>
            <w:div w:id="1989049465">
              <w:marLeft w:val="0"/>
              <w:marRight w:val="0"/>
              <w:marTop w:val="0"/>
              <w:marBottom w:val="0"/>
              <w:divBdr>
                <w:top w:val="none" w:sz="0" w:space="0" w:color="auto"/>
                <w:left w:val="none" w:sz="0" w:space="0" w:color="auto"/>
                <w:bottom w:val="none" w:sz="0" w:space="0" w:color="auto"/>
                <w:right w:val="none" w:sz="0" w:space="0" w:color="auto"/>
              </w:divBdr>
              <w:divsChild>
                <w:div w:id="31746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0784">
          <w:marLeft w:val="0"/>
          <w:marRight w:val="0"/>
          <w:marTop w:val="0"/>
          <w:marBottom w:val="0"/>
          <w:divBdr>
            <w:top w:val="none" w:sz="0" w:space="0" w:color="auto"/>
            <w:left w:val="none" w:sz="0" w:space="0" w:color="auto"/>
            <w:bottom w:val="none" w:sz="0" w:space="0" w:color="auto"/>
            <w:right w:val="none" w:sz="0" w:space="0" w:color="auto"/>
          </w:divBdr>
          <w:divsChild>
            <w:div w:id="1791582582">
              <w:marLeft w:val="0"/>
              <w:marRight w:val="0"/>
              <w:marTop w:val="0"/>
              <w:marBottom w:val="0"/>
              <w:divBdr>
                <w:top w:val="none" w:sz="0" w:space="0" w:color="auto"/>
                <w:left w:val="none" w:sz="0" w:space="0" w:color="auto"/>
                <w:bottom w:val="none" w:sz="0" w:space="0" w:color="auto"/>
                <w:right w:val="none" w:sz="0" w:space="0" w:color="auto"/>
              </w:divBdr>
              <w:divsChild>
                <w:div w:id="1880118804">
                  <w:marLeft w:val="0"/>
                  <w:marRight w:val="0"/>
                  <w:marTop w:val="0"/>
                  <w:marBottom w:val="0"/>
                  <w:divBdr>
                    <w:top w:val="none" w:sz="0" w:space="0" w:color="auto"/>
                    <w:left w:val="none" w:sz="0" w:space="0" w:color="auto"/>
                    <w:bottom w:val="none" w:sz="0" w:space="0" w:color="auto"/>
                    <w:right w:val="none" w:sz="0" w:space="0" w:color="auto"/>
                  </w:divBdr>
                </w:div>
              </w:divsChild>
            </w:div>
            <w:div w:id="337267452">
              <w:marLeft w:val="0"/>
              <w:marRight w:val="0"/>
              <w:marTop w:val="0"/>
              <w:marBottom w:val="0"/>
              <w:divBdr>
                <w:top w:val="none" w:sz="0" w:space="0" w:color="auto"/>
                <w:left w:val="none" w:sz="0" w:space="0" w:color="auto"/>
                <w:bottom w:val="none" w:sz="0" w:space="0" w:color="auto"/>
                <w:right w:val="none" w:sz="0" w:space="0" w:color="auto"/>
              </w:divBdr>
              <w:divsChild>
                <w:div w:id="55027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7781">
          <w:marLeft w:val="0"/>
          <w:marRight w:val="0"/>
          <w:marTop w:val="0"/>
          <w:marBottom w:val="0"/>
          <w:divBdr>
            <w:top w:val="none" w:sz="0" w:space="0" w:color="auto"/>
            <w:left w:val="none" w:sz="0" w:space="0" w:color="auto"/>
            <w:bottom w:val="none" w:sz="0" w:space="0" w:color="auto"/>
            <w:right w:val="none" w:sz="0" w:space="0" w:color="auto"/>
          </w:divBdr>
          <w:divsChild>
            <w:div w:id="968390319">
              <w:marLeft w:val="0"/>
              <w:marRight w:val="0"/>
              <w:marTop w:val="0"/>
              <w:marBottom w:val="0"/>
              <w:divBdr>
                <w:top w:val="none" w:sz="0" w:space="0" w:color="auto"/>
                <w:left w:val="none" w:sz="0" w:space="0" w:color="auto"/>
                <w:bottom w:val="none" w:sz="0" w:space="0" w:color="auto"/>
                <w:right w:val="none" w:sz="0" w:space="0" w:color="auto"/>
              </w:divBdr>
            </w:div>
          </w:divsChild>
        </w:div>
        <w:div w:id="779449681">
          <w:marLeft w:val="0"/>
          <w:marRight w:val="0"/>
          <w:marTop w:val="0"/>
          <w:marBottom w:val="0"/>
          <w:divBdr>
            <w:top w:val="none" w:sz="0" w:space="0" w:color="auto"/>
            <w:left w:val="none" w:sz="0" w:space="0" w:color="auto"/>
            <w:bottom w:val="none" w:sz="0" w:space="0" w:color="auto"/>
            <w:right w:val="none" w:sz="0" w:space="0" w:color="auto"/>
          </w:divBdr>
          <w:divsChild>
            <w:div w:id="1511484321">
              <w:marLeft w:val="0"/>
              <w:marRight w:val="0"/>
              <w:marTop w:val="0"/>
              <w:marBottom w:val="0"/>
              <w:divBdr>
                <w:top w:val="none" w:sz="0" w:space="0" w:color="auto"/>
                <w:left w:val="none" w:sz="0" w:space="0" w:color="auto"/>
                <w:bottom w:val="none" w:sz="0" w:space="0" w:color="auto"/>
                <w:right w:val="none" w:sz="0" w:space="0" w:color="auto"/>
              </w:divBdr>
            </w:div>
          </w:divsChild>
        </w:div>
        <w:div w:id="857281006">
          <w:marLeft w:val="0"/>
          <w:marRight w:val="0"/>
          <w:marTop w:val="0"/>
          <w:marBottom w:val="0"/>
          <w:divBdr>
            <w:top w:val="none" w:sz="0" w:space="0" w:color="auto"/>
            <w:left w:val="none" w:sz="0" w:space="0" w:color="auto"/>
            <w:bottom w:val="none" w:sz="0" w:space="0" w:color="auto"/>
            <w:right w:val="none" w:sz="0" w:space="0" w:color="auto"/>
          </w:divBdr>
          <w:divsChild>
            <w:div w:id="1154568172">
              <w:marLeft w:val="0"/>
              <w:marRight w:val="0"/>
              <w:marTop w:val="0"/>
              <w:marBottom w:val="0"/>
              <w:divBdr>
                <w:top w:val="none" w:sz="0" w:space="0" w:color="auto"/>
                <w:left w:val="none" w:sz="0" w:space="0" w:color="auto"/>
                <w:bottom w:val="none" w:sz="0" w:space="0" w:color="auto"/>
                <w:right w:val="none" w:sz="0" w:space="0" w:color="auto"/>
              </w:divBdr>
            </w:div>
          </w:divsChild>
        </w:div>
        <w:div w:id="314261314">
          <w:marLeft w:val="0"/>
          <w:marRight w:val="0"/>
          <w:marTop w:val="0"/>
          <w:marBottom w:val="0"/>
          <w:divBdr>
            <w:top w:val="none" w:sz="0" w:space="0" w:color="auto"/>
            <w:left w:val="none" w:sz="0" w:space="0" w:color="auto"/>
            <w:bottom w:val="none" w:sz="0" w:space="0" w:color="auto"/>
            <w:right w:val="none" w:sz="0" w:space="0" w:color="auto"/>
          </w:divBdr>
          <w:divsChild>
            <w:div w:id="1907760821">
              <w:marLeft w:val="0"/>
              <w:marRight w:val="0"/>
              <w:marTop w:val="0"/>
              <w:marBottom w:val="0"/>
              <w:divBdr>
                <w:top w:val="none" w:sz="0" w:space="0" w:color="auto"/>
                <w:left w:val="none" w:sz="0" w:space="0" w:color="auto"/>
                <w:bottom w:val="none" w:sz="0" w:space="0" w:color="auto"/>
                <w:right w:val="none" w:sz="0" w:space="0" w:color="auto"/>
              </w:divBdr>
            </w:div>
          </w:divsChild>
        </w:div>
        <w:div w:id="1425953370">
          <w:marLeft w:val="0"/>
          <w:marRight w:val="0"/>
          <w:marTop w:val="0"/>
          <w:marBottom w:val="0"/>
          <w:divBdr>
            <w:top w:val="none" w:sz="0" w:space="0" w:color="auto"/>
            <w:left w:val="none" w:sz="0" w:space="0" w:color="auto"/>
            <w:bottom w:val="none" w:sz="0" w:space="0" w:color="auto"/>
            <w:right w:val="none" w:sz="0" w:space="0" w:color="auto"/>
          </w:divBdr>
          <w:divsChild>
            <w:div w:id="1941794616">
              <w:marLeft w:val="0"/>
              <w:marRight w:val="0"/>
              <w:marTop w:val="0"/>
              <w:marBottom w:val="0"/>
              <w:divBdr>
                <w:top w:val="none" w:sz="0" w:space="0" w:color="auto"/>
                <w:left w:val="none" w:sz="0" w:space="0" w:color="auto"/>
                <w:bottom w:val="none" w:sz="0" w:space="0" w:color="auto"/>
                <w:right w:val="none" w:sz="0" w:space="0" w:color="auto"/>
              </w:divBdr>
            </w:div>
          </w:divsChild>
        </w:div>
        <w:div w:id="1290890543">
          <w:marLeft w:val="0"/>
          <w:marRight w:val="0"/>
          <w:marTop w:val="0"/>
          <w:marBottom w:val="0"/>
          <w:divBdr>
            <w:top w:val="none" w:sz="0" w:space="0" w:color="auto"/>
            <w:left w:val="none" w:sz="0" w:space="0" w:color="auto"/>
            <w:bottom w:val="none" w:sz="0" w:space="0" w:color="auto"/>
            <w:right w:val="none" w:sz="0" w:space="0" w:color="auto"/>
          </w:divBdr>
          <w:divsChild>
            <w:div w:id="1479224502">
              <w:marLeft w:val="0"/>
              <w:marRight w:val="0"/>
              <w:marTop w:val="0"/>
              <w:marBottom w:val="0"/>
              <w:divBdr>
                <w:top w:val="none" w:sz="0" w:space="0" w:color="auto"/>
                <w:left w:val="none" w:sz="0" w:space="0" w:color="auto"/>
                <w:bottom w:val="none" w:sz="0" w:space="0" w:color="auto"/>
                <w:right w:val="none" w:sz="0" w:space="0" w:color="auto"/>
              </w:divBdr>
            </w:div>
          </w:divsChild>
        </w:div>
        <w:div w:id="214245160">
          <w:marLeft w:val="0"/>
          <w:marRight w:val="0"/>
          <w:marTop w:val="0"/>
          <w:marBottom w:val="0"/>
          <w:divBdr>
            <w:top w:val="none" w:sz="0" w:space="0" w:color="auto"/>
            <w:left w:val="none" w:sz="0" w:space="0" w:color="auto"/>
            <w:bottom w:val="none" w:sz="0" w:space="0" w:color="auto"/>
            <w:right w:val="none" w:sz="0" w:space="0" w:color="auto"/>
          </w:divBdr>
          <w:divsChild>
            <w:div w:id="1487895938">
              <w:marLeft w:val="0"/>
              <w:marRight w:val="0"/>
              <w:marTop w:val="0"/>
              <w:marBottom w:val="0"/>
              <w:divBdr>
                <w:top w:val="none" w:sz="0" w:space="0" w:color="auto"/>
                <w:left w:val="none" w:sz="0" w:space="0" w:color="auto"/>
                <w:bottom w:val="none" w:sz="0" w:space="0" w:color="auto"/>
                <w:right w:val="none" w:sz="0" w:space="0" w:color="auto"/>
              </w:divBdr>
            </w:div>
          </w:divsChild>
        </w:div>
        <w:div w:id="226696786">
          <w:marLeft w:val="0"/>
          <w:marRight w:val="0"/>
          <w:marTop w:val="0"/>
          <w:marBottom w:val="0"/>
          <w:divBdr>
            <w:top w:val="none" w:sz="0" w:space="0" w:color="auto"/>
            <w:left w:val="none" w:sz="0" w:space="0" w:color="auto"/>
            <w:bottom w:val="none" w:sz="0" w:space="0" w:color="auto"/>
            <w:right w:val="none" w:sz="0" w:space="0" w:color="auto"/>
          </w:divBdr>
          <w:divsChild>
            <w:div w:id="1615408285">
              <w:marLeft w:val="0"/>
              <w:marRight w:val="0"/>
              <w:marTop w:val="0"/>
              <w:marBottom w:val="0"/>
              <w:divBdr>
                <w:top w:val="none" w:sz="0" w:space="0" w:color="auto"/>
                <w:left w:val="none" w:sz="0" w:space="0" w:color="auto"/>
                <w:bottom w:val="none" w:sz="0" w:space="0" w:color="auto"/>
                <w:right w:val="none" w:sz="0" w:space="0" w:color="auto"/>
              </w:divBdr>
            </w:div>
          </w:divsChild>
        </w:div>
        <w:div w:id="512299642">
          <w:marLeft w:val="0"/>
          <w:marRight w:val="0"/>
          <w:marTop w:val="0"/>
          <w:marBottom w:val="0"/>
          <w:divBdr>
            <w:top w:val="none" w:sz="0" w:space="0" w:color="auto"/>
            <w:left w:val="none" w:sz="0" w:space="0" w:color="auto"/>
            <w:bottom w:val="none" w:sz="0" w:space="0" w:color="auto"/>
            <w:right w:val="none" w:sz="0" w:space="0" w:color="auto"/>
          </w:divBdr>
          <w:divsChild>
            <w:div w:id="1291473993">
              <w:marLeft w:val="0"/>
              <w:marRight w:val="0"/>
              <w:marTop w:val="0"/>
              <w:marBottom w:val="0"/>
              <w:divBdr>
                <w:top w:val="none" w:sz="0" w:space="0" w:color="auto"/>
                <w:left w:val="none" w:sz="0" w:space="0" w:color="auto"/>
                <w:bottom w:val="none" w:sz="0" w:space="0" w:color="auto"/>
                <w:right w:val="none" w:sz="0" w:space="0" w:color="auto"/>
              </w:divBdr>
            </w:div>
          </w:divsChild>
        </w:div>
        <w:div w:id="839201511">
          <w:marLeft w:val="0"/>
          <w:marRight w:val="0"/>
          <w:marTop w:val="0"/>
          <w:marBottom w:val="0"/>
          <w:divBdr>
            <w:top w:val="none" w:sz="0" w:space="0" w:color="auto"/>
            <w:left w:val="none" w:sz="0" w:space="0" w:color="auto"/>
            <w:bottom w:val="none" w:sz="0" w:space="0" w:color="auto"/>
            <w:right w:val="none" w:sz="0" w:space="0" w:color="auto"/>
          </w:divBdr>
          <w:divsChild>
            <w:div w:id="1362197370">
              <w:marLeft w:val="0"/>
              <w:marRight w:val="0"/>
              <w:marTop w:val="0"/>
              <w:marBottom w:val="0"/>
              <w:divBdr>
                <w:top w:val="none" w:sz="0" w:space="0" w:color="auto"/>
                <w:left w:val="none" w:sz="0" w:space="0" w:color="auto"/>
                <w:bottom w:val="none" w:sz="0" w:space="0" w:color="auto"/>
                <w:right w:val="none" w:sz="0" w:space="0" w:color="auto"/>
              </w:divBdr>
            </w:div>
          </w:divsChild>
        </w:div>
        <w:div w:id="1567104871">
          <w:marLeft w:val="0"/>
          <w:marRight w:val="0"/>
          <w:marTop w:val="0"/>
          <w:marBottom w:val="0"/>
          <w:divBdr>
            <w:top w:val="none" w:sz="0" w:space="0" w:color="auto"/>
            <w:left w:val="none" w:sz="0" w:space="0" w:color="auto"/>
            <w:bottom w:val="none" w:sz="0" w:space="0" w:color="auto"/>
            <w:right w:val="none" w:sz="0" w:space="0" w:color="auto"/>
          </w:divBdr>
          <w:divsChild>
            <w:div w:id="1875189224">
              <w:marLeft w:val="0"/>
              <w:marRight w:val="0"/>
              <w:marTop w:val="0"/>
              <w:marBottom w:val="0"/>
              <w:divBdr>
                <w:top w:val="none" w:sz="0" w:space="0" w:color="auto"/>
                <w:left w:val="none" w:sz="0" w:space="0" w:color="auto"/>
                <w:bottom w:val="none" w:sz="0" w:space="0" w:color="auto"/>
                <w:right w:val="none" w:sz="0" w:space="0" w:color="auto"/>
              </w:divBdr>
            </w:div>
          </w:divsChild>
        </w:div>
        <w:div w:id="351226389">
          <w:marLeft w:val="0"/>
          <w:marRight w:val="0"/>
          <w:marTop w:val="0"/>
          <w:marBottom w:val="0"/>
          <w:divBdr>
            <w:top w:val="none" w:sz="0" w:space="0" w:color="auto"/>
            <w:left w:val="none" w:sz="0" w:space="0" w:color="auto"/>
            <w:bottom w:val="none" w:sz="0" w:space="0" w:color="auto"/>
            <w:right w:val="none" w:sz="0" w:space="0" w:color="auto"/>
          </w:divBdr>
          <w:divsChild>
            <w:div w:id="998122095">
              <w:marLeft w:val="0"/>
              <w:marRight w:val="0"/>
              <w:marTop w:val="0"/>
              <w:marBottom w:val="0"/>
              <w:divBdr>
                <w:top w:val="none" w:sz="0" w:space="0" w:color="auto"/>
                <w:left w:val="none" w:sz="0" w:space="0" w:color="auto"/>
                <w:bottom w:val="none" w:sz="0" w:space="0" w:color="auto"/>
                <w:right w:val="none" w:sz="0" w:space="0" w:color="auto"/>
              </w:divBdr>
            </w:div>
          </w:divsChild>
        </w:div>
        <w:div w:id="470178396">
          <w:marLeft w:val="0"/>
          <w:marRight w:val="0"/>
          <w:marTop w:val="0"/>
          <w:marBottom w:val="0"/>
          <w:divBdr>
            <w:top w:val="none" w:sz="0" w:space="0" w:color="auto"/>
            <w:left w:val="none" w:sz="0" w:space="0" w:color="auto"/>
            <w:bottom w:val="none" w:sz="0" w:space="0" w:color="auto"/>
            <w:right w:val="none" w:sz="0" w:space="0" w:color="auto"/>
          </w:divBdr>
          <w:divsChild>
            <w:div w:id="376469560">
              <w:marLeft w:val="0"/>
              <w:marRight w:val="0"/>
              <w:marTop w:val="0"/>
              <w:marBottom w:val="0"/>
              <w:divBdr>
                <w:top w:val="none" w:sz="0" w:space="0" w:color="auto"/>
                <w:left w:val="none" w:sz="0" w:space="0" w:color="auto"/>
                <w:bottom w:val="none" w:sz="0" w:space="0" w:color="auto"/>
                <w:right w:val="none" w:sz="0" w:space="0" w:color="auto"/>
              </w:divBdr>
            </w:div>
          </w:divsChild>
        </w:div>
        <w:div w:id="149180491">
          <w:marLeft w:val="0"/>
          <w:marRight w:val="0"/>
          <w:marTop w:val="0"/>
          <w:marBottom w:val="0"/>
          <w:divBdr>
            <w:top w:val="none" w:sz="0" w:space="0" w:color="auto"/>
            <w:left w:val="none" w:sz="0" w:space="0" w:color="auto"/>
            <w:bottom w:val="none" w:sz="0" w:space="0" w:color="auto"/>
            <w:right w:val="none" w:sz="0" w:space="0" w:color="auto"/>
          </w:divBdr>
          <w:divsChild>
            <w:div w:id="556093916">
              <w:marLeft w:val="0"/>
              <w:marRight w:val="0"/>
              <w:marTop w:val="0"/>
              <w:marBottom w:val="0"/>
              <w:divBdr>
                <w:top w:val="none" w:sz="0" w:space="0" w:color="auto"/>
                <w:left w:val="none" w:sz="0" w:space="0" w:color="auto"/>
                <w:bottom w:val="none" w:sz="0" w:space="0" w:color="auto"/>
                <w:right w:val="none" w:sz="0" w:space="0" w:color="auto"/>
              </w:divBdr>
            </w:div>
          </w:divsChild>
        </w:div>
        <w:div w:id="991756462">
          <w:marLeft w:val="0"/>
          <w:marRight w:val="0"/>
          <w:marTop w:val="0"/>
          <w:marBottom w:val="0"/>
          <w:divBdr>
            <w:top w:val="none" w:sz="0" w:space="0" w:color="auto"/>
            <w:left w:val="none" w:sz="0" w:space="0" w:color="auto"/>
            <w:bottom w:val="none" w:sz="0" w:space="0" w:color="auto"/>
            <w:right w:val="none" w:sz="0" w:space="0" w:color="auto"/>
          </w:divBdr>
          <w:divsChild>
            <w:div w:id="2066490615">
              <w:marLeft w:val="0"/>
              <w:marRight w:val="0"/>
              <w:marTop w:val="0"/>
              <w:marBottom w:val="0"/>
              <w:divBdr>
                <w:top w:val="none" w:sz="0" w:space="0" w:color="auto"/>
                <w:left w:val="none" w:sz="0" w:space="0" w:color="auto"/>
                <w:bottom w:val="none" w:sz="0" w:space="0" w:color="auto"/>
                <w:right w:val="none" w:sz="0" w:space="0" w:color="auto"/>
              </w:divBdr>
            </w:div>
          </w:divsChild>
        </w:div>
        <w:div w:id="1154101196">
          <w:marLeft w:val="0"/>
          <w:marRight w:val="0"/>
          <w:marTop w:val="0"/>
          <w:marBottom w:val="0"/>
          <w:divBdr>
            <w:top w:val="none" w:sz="0" w:space="0" w:color="auto"/>
            <w:left w:val="none" w:sz="0" w:space="0" w:color="auto"/>
            <w:bottom w:val="none" w:sz="0" w:space="0" w:color="auto"/>
            <w:right w:val="none" w:sz="0" w:space="0" w:color="auto"/>
          </w:divBdr>
          <w:divsChild>
            <w:div w:id="751002262">
              <w:marLeft w:val="0"/>
              <w:marRight w:val="0"/>
              <w:marTop w:val="0"/>
              <w:marBottom w:val="0"/>
              <w:divBdr>
                <w:top w:val="none" w:sz="0" w:space="0" w:color="auto"/>
                <w:left w:val="none" w:sz="0" w:space="0" w:color="auto"/>
                <w:bottom w:val="none" w:sz="0" w:space="0" w:color="auto"/>
                <w:right w:val="none" w:sz="0" w:space="0" w:color="auto"/>
              </w:divBdr>
            </w:div>
          </w:divsChild>
        </w:div>
        <w:div w:id="211700646">
          <w:marLeft w:val="0"/>
          <w:marRight w:val="0"/>
          <w:marTop w:val="0"/>
          <w:marBottom w:val="0"/>
          <w:divBdr>
            <w:top w:val="none" w:sz="0" w:space="0" w:color="auto"/>
            <w:left w:val="none" w:sz="0" w:space="0" w:color="auto"/>
            <w:bottom w:val="none" w:sz="0" w:space="0" w:color="auto"/>
            <w:right w:val="none" w:sz="0" w:space="0" w:color="auto"/>
          </w:divBdr>
          <w:divsChild>
            <w:div w:id="919295776">
              <w:marLeft w:val="0"/>
              <w:marRight w:val="0"/>
              <w:marTop w:val="0"/>
              <w:marBottom w:val="0"/>
              <w:divBdr>
                <w:top w:val="none" w:sz="0" w:space="0" w:color="auto"/>
                <w:left w:val="none" w:sz="0" w:space="0" w:color="auto"/>
                <w:bottom w:val="none" w:sz="0" w:space="0" w:color="auto"/>
                <w:right w:val="none" w:sz="0" w:space="0" w:color="auto"/>
              </w:divBdr>
            </w:div>
          </w:divsChild>
        </w:div>
        <w:div w:id="1092700051">
          <w:marLeft w:val="0"/>
          <w:marRight w:val="0"/>
          <w:marTop w:val="0"/>
          <w:marBottom w:val="0"/>
          <w:divBdr>
            <w:top w:val="none" w:sz="0" w:space="0" w:color="auto"/>
            <w:left w:val="none" w:sz="0" w:space="0" w:color="auto"/>
            <w:bottom w:val="none" w:sz="0" w:space="0" w:color="auto"/>
            <w:right w:val="none" w:sz="0" w:space="0" w:color="auto"/>
          </w:divBdr>
          <w:divsChild>
            <w:div w:id="10345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is.who.int/bitstream/handle/10665/375767/9789240077263-eng.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cdc.gov/autism/hcp/diagnosis/screeni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ice.org.uk/guidance/cg170" TargetMode="External"/><Relationship Id="rId5" Type="http://schemas.openxmlformats.org/officeDocument/2006/relationships/image" Target="media/image1.png"/><Relationship Id="rId10" Type="http://schemas.openxmlformats.org/officeDocument/2006/relationships/hyperlink" Target="https://www.nice.org.uk/guidance/cg128" TargetMode="External"/><Relationship Id="rId4" Type="http://schemas.openxmlformats.org/officeDocument/2006/relationships/webSettings" Target="webSettings.xml"/><Relationship Id="rId9" Type="http://schemas.openxmlformats.org/officeDocument/2006/relationships/hyperlink" Target="https://publications.aap.org/pediatrics/article/145/1/e20193670/36917/Identifying-Infants-and-Young-Children-Wit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41274</Words>
  <Characters>23527</Characters>
  <Application>Microsoft Office Word</Application>
  <DocSecurity>0</DocSecurity>
  <Lines>196</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2026-10-13T04:55:00Z</dcterms:created>
  <dcterms:modified xsi:type="dcterms:W3CDTF">2026-10-13T05:21:00Z</dcterms:modified>
</cp:coreProperties>
</file>