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AD740" w14:textId="77777777" w:rsidR="00EE695B" w:rsidRPr="00EE695B" w:rsidRDefault="00EE695B" w:rsidP="00EE695B">
      <w:pPr>
        <w:spacing w:after="0" w:line="240" w:lineRule="auto"/>
        <w:jc w:val="center"/>
        <w:rPr>
          <w:rFonts w:ascii="Times New Roman" w:eastAsia="Times New Roman" w:hAnsi="Times New Roman" w:cs="Times New Roman"/>
          <w:b/>
          <w:bCs/>
          <w:kern w:val="36"/>
          <w:sz w:val="24"/>
          <w:szCs w:val="24"/>
          <w:lang w:eastAsia="uk-UA"/>
        </w:rPr>
      </w:pPr>
      <w:r w:rsidRPr="00EE695B">
        <w:rPr>
          <w:rFonts w:ascii="Times New Roman" w:eastAsia="Times New Roman" w:hAnsi="Times New Roman" w:cs="Times New Roman"/>
          <w:b/>
          <w:bCs/>
          <w:kern w:val="36"/>
          <w:sz w:val="24"/>
          <w:szCs w:val="24"/>
          <w:lang w:eastAsia="uk-UA"/>
        </w:rPr>
        <w:t>ЛЕКЦІЯ № 4</w:t>
      </w:r>
    </w:p>
    <w:p w14:paraId="33EE35D0" w14:textId="77777777" w:rsidR="00EE695B" w:rsidRPr="00EE695B" w:rsidRDefault="00EE695B" w:rsidP="00EE695B">
      <w:pPr>
        <w:spacing w:after="0" w:line="240" w:lineRule="auto"/>
        <w:jc w:val="center"/>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Тема 4. Сучасні методи та технології психолого-педагогічного втручання при розладах аутистичного спектра</w:t>
      </w:r>
    </w:p>
    <w:p w14:paraId="1E3CAA57" w14:textId="77777777" w:rsidR="00EE695B" w:rsidRPr="00EE695B" w:rsidRDefault="00EE695B" w:rsidP="00EE695B">
      <w:pPr>
        <w:spacing w:after="0" w:line="240" w:lineRule="auto"/>
        <w:jc w:val="center"/>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План лекції</w:t>
      </w:r>
    </w:p>
    <w:p w14:paraId="185F9C88"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Теоретико-методологічні засади сучасного психолого-педагогічного втручання при РАС.</w:t>
      </w:r>
    </w:p>
    <w:p w14:paraId="2704C77A"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Доказово обґрунтовані підходи до підтримки осіб з РАС.</w:t>
      </w:r>
    </w:p>
    <w:p w14:paraId="7D656464"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Поведінкові методи втручання та прикладний аналіз поведінки (ABA).</w:t>
      </w:r>
    </w:p>
    <w:p w14:paraId="35C93EB3"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Розвивальні підходи до психолого-педагогічної підтримки дітей з РАС.</w:t>
      </w:r>
    </w:p>
    <w:p w14:paraId="047721F0"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Природні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-поведінкові втручання (NDBI).</w:t>
      </w:r>
    </w:p>
    <w:p w14:paraId="695D9D8C"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Структуроване навчання як технологія організації освітнього середовища.</w:t>
      </w:r>
    </w:p>
    <w:p w14:paraId="4771E7E3"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Візуальна підтримка в навчанні, комунікації та соціальній взаємодії.</w:t>
      </w:r>
    </w:p>
    <w:p w14:paraId="77D9DC1C"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Позитивна поведінкова підтримка осіб з РАС.</w:t>
      </w:r>
    </w:p>
    <w:p w14:paraId="7BDE068B" w14:textId="77777777" w:rsidR="00EE695B" w:rsidRPr="00EE695B" w:rsidRDefault="00EE695B" w:rsidP="00EE695B">
      <w:pPr>
        <w:numPr>
          <w:ilvl w:val="0"/>
          <w:numId w:val="1"/>
        </w:numPr>
        <w:spacing w:after="0" w:line="240" w:lineRule="auto"/>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Індивідуалізація психолого-педагогічного втручання та оцінювання його результативності.</w:t>
      </w:r>
    </w:p>
    <w:p w14:paraId="0FAE03C0"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1. Теоретико-методологічні засади сучасного психолого-педагогічного втручання при РАС</w:t>
      </w:r>
    </w:p>
    <w:p w14:paraId="21D29CF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Розлади аутистичного спектра належать до </w:t>
      </w:r>
      <w:proofErr w:type="spellStart"/>
      <w:r w:rsidRPr="00EE695B">
        <w:rPr>
          <w:rFonts w:ascii="Times New Roman" w:eastAsia="Times New Roman" w:hAnsi="Times New Roman" w:cs="Times New Roman"/>
          <w:sz w:val="24"/>
          <w:szCs w:val="24"/>
          <w:lang w:eastAsia="uk-UA"/>
        </w:rPr>
        <w:t>нейророзвиткових</w:t>
      </w:r>
      <w:proofErr w:type="spellEnd"/>
      <w:r w:rsidRPr="00EE695B">
        <w:rPr>
          <w:rFonts w:ascii="Times New Roman" w:eastAsia="Times New Roman" w:hAnsi="Times New Roman" w:cs="Times New Roman"/>
          <w:sz w:val="24"/>
          <w:szCs w:val="24"/>
          <w:lang w:eastAsia="uk-UA"/>
        </w:rPr>
        <w:t xml:space="preserve"> розладів, які характеризуються стійкими особливостями соціальної комунікації та соціальної взаємодії, а також обмеженими, повторюваними моделями поведінки, інтересів і діяльності. Спектральний характер РАС зумовлює значну індивідуальну варіативність проявів, що визначає необхідність диференційованого підходу до організації психолого-педагогічної підтримки.</w:t>
      </w:r>
    </w:p>
    <w:p w14:paraId="27DC7CC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Сучасна система допомоги особам з РАС ґрунтується на принциповому переосмисленні мети втручання. Якщо в окремих традиційних підходах основна увага приділялася усуненню зовнішніх проявів аутизму та наближенню поведінки дитини до умовно нормативних зразків, то сучасні науково обґрунтовані практики дедалі більше орієнтуються на розвиток функціональних навичок, забезпечення комунікативної доступності, підвищення самостійності, розширення можливостей соціальної участі та покращення якості життя.</w:t>
      </w:r>
    </w:p>
    <w:p w14:paraId="50AAEDD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цьому контексті психолого-педагогічне втручання доцільно розглядати як цілеспрямовану, систематично організовану діяльність фахівців, спрямовану на розвиток значущих для особи навичок, подолання бар'єрів участі, формування доступних способів комунікації та створення сприятливих умов для навчання й соціальної взаємодії.</w:t>
      </w:r>
    </w:p>
    <w:p w14:paraId="48729F3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Термін «втручання» у спеціальній педагогіці та психології не слід розуміти виключно як безпосередній вплив фахівця на поведінку дитини. Він охоплює значно ширший комплекс заходів: адаптацію середовища, навчання батьків і педагогів, модифікацію освітніх завдань, використання спеціальних комунікативних засобів, розвиток соціальних і адаптивних навичок, а також систематичне оцінювання змін у функціонуванні особи.</w:t>
      </w:r>
    </w:p>
    <w:p w14:paraId="705268C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розмежовувати поняття «лікування аутизму» та «психолого-педагогічна підтримка особи з РАС». Аутизм не є захворюванням, яке можна усунути за допомогою педагогічних методів. Відповідно, метою психолого-педагогічного втручання не може бути «позбавлення дитини аутизму». Його призначення полягає у створенні умов, за яких особа з РАС отримує можливість максимально реалізувати власний потенціал, засвоїти необхідні навички та брати участь у житті суспільства.</w:t>
      </w:r>
    </w:p>
    <w:p w14:paraId="248A80C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Сучасні підходи до втручання ґрунтуються на взаємодії кількох теоретичних напрямів. Поведінковий підхід акцентує увагу на закономірностях формування та підтримання поведінки, ролі </w:t>
      </w:r>
      <w:proofErr w:type="spellStart"/>
      <w:r w:rsidRPr="00EE695B">
        <w:rPr>
          <w:rFonts w:ascii="Times New Roman" w:eastAsia="Times New Roman" w:hAnsi="Times New Roman" w:cs="Times New Roman"/>
          <w:sz w:val="24"/>
          <w:szCs w:val="24"/>
          <w:lang w:eastAsia="uk-UA"/>
        </w:rPr>
        <w:t>середовищних</w:t>
      </w:r>
      <w:proofErr w:type="spellEnd"/>
      <w:r w:rsidRPr="00EE695B">
        <w:rPr>
          <w:rFonts w:ascii="Times New Roman" w:eastAsia="Times New Roman" w:hAnsi="Times New Roman" w:cs="Times New Roman"/>
          <w:sz w:val="24"/>
          <w:szCs w:val="24"/>
          <w:lang w:eastAsia="uk-UA"/>
        </w:rPr>
        <w:t xml:space="preserve"> чинників, підкріплення й систематичного навчання. Розвивальний підхід виходить із закономірностей становлення психічних функцій, соціальної взаємодії, емоційної регуляції та комунікації. Соціально-екологічний підхід розглядає розвиток особи у взаємодії з родиною, освітнім середовищем і ширшим соціальним контекстом.</w:t>
      </w:r>
    </w:p>
    <w:p w14:paraId="707BD82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Інтеграція зазначених підходів дозволяє уникнути однобічного розуміння труднощів дитини. Наприклад, відмова від виконання навчального завдання може бути пов'язана не лише з недостатньою сформованістю відповідної навички, а й із сенсорним перевантаженням, незрозумілою інструкцією, відсутністю доступного способу повідомлення про труднощі або невідповідністю вимог актуальним можливостям дитини.</w:t>
      </w:r>
    </w:p>
    <w:p w14:paraId="5A20BD1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Відповідно, ефективне втручання повинно передбачати аналіз не лише поведінки дитини, а й умов її виникнення, комунікативного контексту та характеристик навколишнього середовища.</w:t>
      </w:r>
    </w:p>
    <w:p w14:paraId="350302A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фундаментальних принципів сучасної підтримки є індивідуалізація. Діти з однаковим клінічним діагнозом можуть суттєво відрізнятися за рівнем розвитку мовлення, когнітивними можливостями, особливостями сенсорного сприймання, соціальними інтересами та потребами в допомозі. Тому застосування однакової програми для всіх дітей з РАС не відповідає сучасним вимогам доказової та особистісно орієнтованої практики.</w:t>
      </w:r>
    </w:p>
    <w:p w14:paraId="4F8AB98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 менш важливим є принцип функціональної спрямованості. Навички, які формуються в процесі втручання, повинні мати практичне значення для повсякденного життя. Наприклад, навчання дитини називати зображення предметів може бути корисним для розвитку словника, однак воно не повинно замінювати формування здатності самостійно попросити необхідний предмет, повідомити про біль, висловити незгоду або звернутися по допомогу.</w:t>
      </w:r>
    </w:p>
    <w:p w14:paraId="17FD6F7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Сучасне психолого-педагогічне втручання також має ґрунтуватися на принципах добровільності, поваги до гідності особи, партнерства з родиною та врахування позиції самої дитини. Особливого значення набуває забезпечення права на доступну комунікацію, можливість вибору та відмови від небажаної діяльності.</w:t>
      </w:r>
    </w:p>
    <w:p w14:paraId="70A97A1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сучасна система психолого-педагогічного втручання при РАС являє собою комплекс взаємопов'язаних методів і технологій, які добираються відповідно до індивідуальних особливостей розвитку та спрямовуються на формування функціональних навичок, підвищення самостійності й забезпечення повноцінної участі особи в освітньому та соціальному житті.</w:t>
      </w:r>
    </w:p>
    <w:p w14:paraId="30BD08F0"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2. Доказово обґрунтовані підходи до підтримки осіб з РАС</w:t>
      </w:r>
    </w:p>
    <w:p w14:paraId="5F0CB78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Однією з провідних тенденцій розвитку сучасної спеціальної педагогіки є перехід від використання методів, ефективність яких обґрунтовується переважно практичним досвідом окремих фахівців, до впровадження доказово обґрунтованих практик.</w:t>
      </w:r>
    </w:p>
    <w:p w14:paraId="05E995C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Доказово обґрунтована практика передбачає інтеграцію результатів якісних наукових досліджень, професійної компетентності фахівця, індивідуальних характеристик особи та цінностей і пріоритетів її родини.</w:t>
      </w:r>
    </w:p>
    <w:p w14:paraId="6D24B88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підкреслити, що доказовість не означає механічного застосування методики, ефективність якої підтверджена в певному дослідженні. Результати наукових досліджень визначають імовірність позитивного впливу втручання на конкретні навички або сфери розвитку, але не гарантують однакового результату для кожної дитини.</w:t>
      </w:r>
    </w:p>
    <w:p w14:paraId="34C90CA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певний метод може демонструвати позитивні результати щодо розвитку спільної уваги в дітей раннього віку, але його ефективність для формування зв'язного мовлення в дітей старшого дошкільного віку потребуватиме окремого наукового підтвердження.</w:t>
      </w:r>
    </w:p>
    <w:p w14:paraId="1FF85B0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У міжнародній практиці одним із найбільш відомих узагальнень доказово обґрунтованих підходів є дослідження </w:t>
      </w:r>
      <w:proofErr w:type="spellStart"/>
      <w:r w:rsidRPr="00EE695B">
        <w:rPr>
          <w:rFonts w:ascii="Times New Roman" w:eastAsia="Times New Roman" w:hAnsi="Times New Roman" w:cs="Times New Roman"/>
          <w:sz w:val="24"/>
          <w:szCs w:val="24"/>
          <w:lang w:eastAsia="uk-UA"/>
        </w:rPr>
        <w:t>National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Clearinghouse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Evidence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Practice</w:t>
      </w:r>
      <w:proofErr w:type="spellEnd"/>
      <w:r w:rsidRPr="00EE695B">
        <w:rPr>
          <w:rFonts w:ascii="Times New Roman" w:eastAsia="Times New Roman" w:hAnsi="Times New Roman" w:cs="Times New Roman"/>
          <w:sz w:val="24"/>
          <w:szCs w:val="24"/>
          <w:lang w:eastAsia="uk-UA"/>
        </w:rPr>
        <w:t xml:space="preserve"> (NCAEP), у якому систематизовано практики підтримки дітей і молоді з РАС. У звіті 2020 року було визначено 28 доказово обґрунтованих практик на підставі аналізу досліджень, опублікованих упродовж 1990–2017 років.</w:t>
      </w:r>
    </w:p>
    <w:p w14:paraId="15C92A5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До них належать, зокрема, візуальна підтримка, моделювання, </w:t>
      </w:r>
      <w:proofErr w:type="spellStart"/>
      <w:r w:rsidRPr="00EE695B">
        <w:rPr>
          <w:rFonts w:ascii="Times New Roman" w:eastAsia="Times New Roman" w:hAnsi="Times New Roman" w:cs="Times New Roman"/>
          <w:sz w:val="24"/>
          <w:szCs w:val="24"/>
          <w:lang w:eastAsia="uk-UA"/>
        </w:rPr>
        <w:t>відеомоделювання</w:t>
      </w:r>
      <w:proofErr w:type="spellEnd"/>
      <w:r w:rsidRPr="00EE695B">
        <w:rPr>
          <w:rFonts w:ascii="Times New Roman" w:eastAsia="Times New Roman" w:hAnsi="Times New Roman" w:cs="Times New Roman"/>
          <w:sz w:val="24"/>
          <w:szCs w:val="24"/>
          <w:lang w:eastAsia="uk-UA"/>
        </w:rPr>
        <w:t xml:space="preserve">, підкріплення, підказки, навчання в природних умовах, функціональне оцінювання поведінки, функціональне комунікативне навчання, навчання за участю однолітків, соціальні </w:t>
      </w:r>
      <w:proofErr w:type="spellStart"/>
      <w:r w:rsidRPr="00EE695B">
        <w:rPr>
          <w:rFonts w:ascii="Times New Roman" w:eastAsia="Times New Roman" w:hAnsi="Times New Roman" w:cs="Times New Roman"/>
          <w:sz w:val="24"/>
          <w:szCs w:val="24"/>
          <w:lang w:eastAsia="uk-UA"/>
        </w:rPr>
        <w:t>наративи</w:t>
      </w:r>
      <w:proofErr w:type="spellEnd"/>
      <w:r w:rsidRPr="00EE695B">
        <w:rPr>
          <w:rFonts w:ascii="Times New Roman" w:eastAsia="Times New Roman" w:hAnsi="Times New Roman" w:cs="Times New Roman"/>
          <w:sz w:val="24"/>
          <w:szCs w:val="24"/>
          <w:lang w:eastAsia="uk-UA"/>
        </w:rPr>
        <w:t>, самоконтроль, альтернативна та додаткова комунікація й інші практики.</w:t>
      </w:r>
    </w:p>
    <w:p w14:paraId="616AC6D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Проте наявність методу в переліку доказово обґрунтованих практик не означає, що він однаково ефективний для всіх дітей, вікових груп і цілей. Доказова база завжди повинна розглядатися з урахуванням конкретних результатів, які оцінювалися в дослідженнях.</w:t>
      </w:r>
    </w:p>
    <w:p w14:paraId="585B018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Важливим напрямом сучасних досліджень є аналіз ефективності комплексних програм раннього втручання. Такі програми можуть поєднувати поведінкові, розвивальні, комунікативні та сімейно-орієнтовані компоненти.</w:t>
      </w:r>
    </w:p>
    <w:p w14:paraId="365615D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Наукові огляди свідчать, що окремі втручання здатні позитивно впливати на розвиток соціальної комунікації, спільної уваги, адаптивних навичок та окремих компонентів мовлення. Водночас величина ефектів, стійкість результатів і можливість їх перенесення в повсякденне життя можуть суттєво відрізнятися.</w:t>
      </w:r>
    </w:p>
    <w:p w14:paraId="1F91DB9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Складність оцінювання доказовості зумовлена неоднорідністю досліджуваних груп. У дослідженнях можуть брати участь діти різного віку, з різним рівнем інтелектуального й мовленнєвого розвитку, неоднаковими супутніми станами та різними умовами сімейного виховання.</w:t>
      </w:r>
    </w:p>
    <w:p w14:paraId="39A1DF9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Крім того, дослідження можуть відрізнятися тривалістю втручання, інтенсивністю занять, професійною підготовкою фахівців та інструментами оцінювання результатів. Це ускладнює безпосереднє порівняння ефективності різних методів.</w:t>
      </w:r>
    </w:p>
    <w:p w14:paraId="120B4C0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Особливого значення набуває розмежування статистично значущих і функціонально значущих результатів. Статистично значуща зміна певного показника не завжди означає істотне покращення повсякденного життя дитини.</w:t>
      </w:r>
    </w:p>
    <w:p w14:paraId="56701D1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збільшення кількості правильних відповідей на спеціально організованому занятті може свідчити про засвоєння конкретної навички. Однак якщо дитина не використовує цю навичку в родині або закладі освіти, її функціональне значення залишається обмеженим.</w:t>
      </w:r>
    </w:p>
    <w:p w14:paraId="26186A2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сучасні підходи до оцінювання ефективності передбачають аналіз не лише результатів тестування, а й змін у самостійності, комунікації, соціальній участі та якості життя.</w:t>
      </w:r>
    </w:p>
    <w:p w14:paraId="11AC09A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Необхідно також розрізняти доказово обґрунтовані методи та практики, які рекламуються як універсальні засоби подолання аутизму. Твердження про можливість повного усунення РАС за допомогою окремої педагогічної, психологічної або біомедичної методики не відповідають сучасному науковому розумінню аутизму.</w:t>
      </w:r>
    </w:p>
    <w:p w14:paraId="0FFAC56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Критичне оцінювання нових методів повинно передбачати аналіз їхньої теоретичної основи, наявності незалежних досліджень, методологічної якості доказів, можливих ризиків та відповідності етичним принципам.</w:t>
      </w:r>
    </w:p>
    <w:p w14:paraId="2272C3D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майбутнього вчителя-логопеда доказовий підхід означає необхідність обґрунтованого добору методів формування комунікативно-мовленнєвих навичок, систематичного оцінювання їхньої результативності та готовності змінювати стратегію роботи за відсутності очікуваного прогресу.</w:t>
      </w:r>
    </w:p>
    <w:p w14:paraId="27CF483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доказово обґрунтована практика є не фіксованим набором методик, а процесом професійного прийняття рішень, який поєднує наукові дані, індивідуальні потреби дитини, компетентність фахівця та постійне оцінювання результатів.</w:t>
      </w:r>
    </w:p>
    <w:p w14:paraId="561292FD"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3. Поведінкові методи втручання та прикладний аналіз поведінки (ABA)</w:t>
      </w:r>
    </w:p>
    <w:p w14:paraId="219DDD6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Поведінкові підходи посідають важливе місце в системі психолого-педагогічної підтримки осіб з РАС. Їхньою теоретичною основою є закономірності </w:t>
      </w:r>
      <w:proofErr w:type="spellStart"/>
      <w:r w:rsidRPr="00EE695B">
        <w:rPr>
          <w:rFonts w:ascii="Times New Roman" w:eastAsia="Times New Roman" w:hAnsi="Times New Roman" w:cs="Times New Roman"/>
          <w:sz w:val="24"/>
          <w:szCs w:val="24"/>
          <w:lang w:eastAsia="uk-UA"/>
        </w:rPr>
        <w:t>научіння</w:t>
      </w:r>
      <w:proofErr w:type="spellEnd"/>
      <w:r w:rsidRPr="00EE695B">
        <w:rPr>
          <w:rFonts w:ascii="Times New Roman" w:eastAsia="Times New Roman" w:hAnsi="Times New Roman" w:cs="Times New Roman"/>
          <w:sz w:val="24"/>
          <w:szCs w:val="24"/>
          <w:lang w:eastAsia="uk-UA"/>
        </w:rPr>
        <w:t>, відповідно до яких формування та підтримання поведінки розглядається у взаємозв'язку з попередніми умовами, наслідками дій і характеристиками навколишнього середовища.</w:t>
      </w:r>
    </w:p>
    <w:p w14:paraId="4043D56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Одним із найбільш відомих напрямів є прикладний аналіз поведінки — </w:t>
      </w:r>
      <w:proofErr w:type="spellStart"/>
      <w:r w:rsidRPr="00EE695B">
        <w:rPr>
          <w:rFonts w:ascii="Times New Roman" w:eastAsia="Times New Roman" w:hAnsi="Times New Roman" w:cs="Times New Roman"/>
          <w:sz w:val="24"/>
          <w:szCs w:val="24"/>
          <w:lang w:eastAsia="uk-UA"/>
        </w:rPr>
        <w:t>Applied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Behavior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Analysis</w:t>
      </w:r>
      <w:proofErr w:type="spellEnd"/>
      <w:r w:rsidRPr="00EE695B">
        <w:rPr>
          <w:rFonts w:ascii="Times New Roman" w:eastAsia="Times New Roman" w:hAnsi="Times New Roman" w:cs="Times New Roman"/>
          <w:sz w:val="24"/>
          <w:szCs w:val="24"/>
          <w:lang w:eastAsia="uk-UA"/>
        </w:rPr>
        <w:t xml:space="preserve"> (ABA). Він становить науково-практичний підхід до дослідження та цілеспрямованої зміни соціально значущої поведінки на основі принципів поведінкового аналізу.</w:t>
      </w:r>
    </w:p>
    <w:p w14:paraId="055E4BC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Необхідно розрізняти ABA як науково-практичну галузь і конкретні програми втручання, які використовують її принципи. Прикладний аналіз поведінки не є однією універсальною методикою або незмінним набором вправ. Він охоплює різні процедури навчання, аналізу поведінки, формування навичок і модифікації середовища.</w:t>
      </w:r>
    </w:p>
    <w:p w14:paraId="0D8DBAB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роботі з дітьми з РАС поведінкові методи можуть застосовуватися для розвитку комунікації, навичок самообслуговування, навчальної діяльності, соціальної взаємодії, самостійності та адаптивної поведінки.</w:t>
      </w:r>
    </w:p>
    <w:p w14:paraId="11415C92"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Теоретичні основи прикладного аналізу поведінки</w:t>
      </w:r>
    </w:p>
    <w:p w14:paraId="13890F3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центральних положень ABA є розуміння поведінки у взаємозв'язку з умовами її виникнення та наслідками. Для аналізу часто використовують трикомпонентну модель ABC, у якій A (</w:t>
      </w:r>
      <w:proofErr w:type="spellStart"/>
      <w:r w:rsidRPr="00EE695B">
        <w:rPr>
          <w:rFonts w:ascii="Times New Roman" w:eastAsia="Times New Roman" w:hAnsi="Times New Roman" w:cs="Times New Roman"/>
          <w:sz w:val="24"/>
          <w:szCs w:val="24"/>
          <w:lang w:eastAsia="uk-UA"/>
        </w:rPr>
        <w:t>antecedent</w:t>
      </w:r>
      <w:proofErr w:type="spellEnd"/>
      <w:r w:rsidRPr="00EE695B">
        <w:rPr>
          <w:rFonts w:ascii="Times New Roman" w:eastAsia="Times New Roman" w:hAnsi="Times New Roman" w:cs="Times New Roman"/>
          <w:sz w:val="24"/>
          <w:szCs w:val="24"/>
          <w:lang w:eastAsia="uk-UA"/>
        </w:rPr>
        <w:t>) позначає попередні умови, B (</w:t>
      </w:r>
      <w:proofErr w:type="spellStart"/>
      <w:r w:rsidRPr="00EE695B">
        <w:rPr>
          <w:rFonts w:ascii="Times New Roman" w:eastAsia="Times New Roman" w:hAnsi="Times New Roman" w:cs="Times New Roman"/>
          <w:sz w:val="24"/>
          <w:szCs w:val="24"/>
          <w:lang w:eastAsia="uk-UA"/>
        </w:rPr>
        <w:t>behavior</w:t>
      </w:r>
      <w:proofErr w:type="spellEnd"/>
      <w:r w:rsidRPr="00EE695B">
        <w:rPr>
          <w:rFonts w:ascii="Times New Roman" w:eastAsia="Times New Roman" w:hAnsi="Times New Roman" w:cs="Times New Roman"/>
          <w:sz w:val="24"/>
          <w:szCs w:val="24"/>
          <w:lang w:eastAsia="uk-UA"/>
        </w:rPr>
        <w:t>) — поведінку, C (</w:t>
      </w:r>
      <w:proofErr w:type="spellStart"/>
      <w:r w:rsidRPr="00EE695B">
        <w:rPr>
          <w:rFonts w:ascii="Times New Roman" w:eastAsia="Times New Roman" w:hAnsi="Times New Roman" w:cs="Times New Roman"/>
          <w:sz w:val="24"/>
          <w:szCs w:val="24"/>
          <w:lang w:eastAsia="uk-UA"/>
        </w:rPr>
        <w:t>consequence</w:t>
      </w:r>
      <w:proofErr w:type="spellEnd"/>
      <w:r w:rsidRPr="00EE695B">
        <w:rPr>
          <w:rFonts w:ascii="Times New Roman" w:eastAsia="Times New Roman" w:hAnsi="Times New Roman" w:cs="Times New Roman"/>
          <w:sz w:val="24"/>
          <w:szCs w:val="24"/>
          <w:lang w:eastAsia="uk-UA"/>
        </w:rPr>
        <w:t>) — наслідки поведінки.</w:t>
      </w:r>
    </w:p>
    <w:p w14:paraId="0C19004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Попередні умови охоплюють події, які передують певній дії. Це можуть бути звернення дорослого, зміна діяльності, поява складного завдання, відсутність бажаного предмета або певні сенсорні подразники.</w:t>
      </w:r>
    </w:p>
    <w:p w14:paraId="362C7B1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Поведінка розглядається як конкретна дія, яку можна спостерігати й описати. Наприклад, замість загального формулювання «дитина поводиться агресивно» доцільно зазначити, що дитина штовхає предмети зі столу або вдаряє рукою по поверхні.</w:t>
      </w:r>
    </w:p>
    <w:p w14:paraId="637AC5E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Наслідки поведінки охоплюють події, які виникають після відповідної дії та можуть впливати на ймовірність її повторення в майбутньому.</w:t>
      </w:r>
    </w:p>
    <w:p w14:paraId="7807BAC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Розглянемо приклад. Під час заняття дорослий пропонує дитині виконати складне завдання. Дитина відсуває матеріали й починає голосно плакати. Після цього завдання припиняють. Якщо подібна ситуація повторюється, фахівець може припустити, що припинення складної діяльності є одним із чинників, які підтримують відповідну поведінку.</w:t>
      </w:r>
    </w:p>
    <w:p w14:paraId="5B9598D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Однак такий висновок не можна робити лише на підставі одного спостереження. Необхідно враховувати можливі причини дискомфорту, зокрема втому, біль, сенсорне перевантаження, недостатнє розуміння інструкції або відсутність доступного способу повідомлення про потребу в перерві.</w:t>
      </w:r>
    </w:p>
    <w:p w14:paraId="1516739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поведінковий аналіз має бути спрямований не лише на визначення закономірностей поведінки, а й на розуміння потреб дитини та пошук більш доступних способів їх задоволення.</w:t>
      </w:r>
    </w:p>
    <w:p w14:paraId="195C18E8"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Підкріплення як механізм формування поведінки</w:t>
      </w:r>
    </w:p>
    <w:p w14:paraId="7D343B9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базових понять ABA є підкріплення. Підкріпленням називають наслідок поведінки, який підвищує ймовірність її повторення за подібних умов.</w:t>
      </w:r>
    </w:p>
    <w:p w14:paraId="57DF22B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Розрізняють позитивне та негативне підкріплення. Позитивне підкріплення передбачає появу певного стимулу після поведінки, що сприяє її повторенню. Наприклад, дитина самостійно звертається до дорослого з проханням погратися, після чого отримує можливість спільної гри. Якщо це підвищує ймовірність подальших самостійних звернень, спільна гра виконує функцію підкріплення.</w:t>
      </w:r>
    </w:p>
    <w:p w14:paraId="2643A0E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Негативне підкріплення передбачає усунення або зменшення неприємного стимулу після певної поведінки, що також підвищує ймовірність її повторення. Негативне підкріплення не слід ототожнювати з покаранням.</w:t>
      </w:r>
    </w:p>
    <w:p w14:paraId="0B813A6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педагогічній практиці особливо важливо використовувати природні підкріплювальні наслідки. Якщо дитина повідомляє, що хоче пити, природним результатом комунікації є отримання води. Якщо просить допомогти відкрити коробку, дорослий надає необхідну допомогу.</w:t>
      </w:r>
    </w:p>
    <w:p w14:paraId="77AB466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Таке навчання сприяє усвідомленню функціонального значення комунікації та створює умови для перенесення сформованих навичок у повсякденне життя.</w:t>
      </w:r>
    </w:p>
    <w:p w14:paraId="00B7EED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використання підкріплення потребує дотримання етичних вимог. Неприпустимо позбавляти дитину їжі, води, відпочинку, доступу до туалету або інших базових потреб із метою створення мотивації до виконання завдань. Необхідно також уникати використання значущих для дитини предметів і видів діяльності як засобів примусового контролю.</w:t>
      </w:r>
    </w:p>
    <w:p w14:paraId="2B51EA99"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Метод дискретних проб (DTT)</w:t>
      </w:r>
    </w:p>
    <w:p w14:paraId="00A1B02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Discrete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Trial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Training</w:t>
      </w:r>
      <w:proofErr w:type="spellEnd"/>
      <w:r w:rsidRPr="00EE695B">
        <w:rPr>
          <w:rFonts w:ascii="Times New Roman" w:eastAsia="Times New Roman" w:hAnsi="Times New Roman" w:cs="Times New Roman"/>
          <w:sz w:val="24"/>
          <w:szCs w:val="24"/>
          <w:lang w:eastAsia="uk-UA"/>
        </w:rPr>
        <w:t xml:space="preserve"> (DTT), або навчання за допомогою дискретних проб, є одним зі структурованих методів поведінкового навчання.</w:t>
      </w:r>
    </w:p>
    <w:p w14:paraId="55F05CF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Його сутність полягає в поділі складної навички на окремі навчальні одиниці, кожна з яких містить чітко визначену інструкцію або стимул, реакцію дитини та відповідний наслідок.</w:t>
      </w:r>
    </w:p>
    <w:p w14:paraId="012C45A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формування розуміння назв предметів дорослий розміщує перед дитиною декілька зображень і пропонує показати певний предмет. Після правильної відповіді дитина отримує природне або інше доречне підкріплення. Якщо відповідь відсутня, фахівець може використати підказку відповідно до індивідуальної програми навчання.</w:t>
      </w:r>
    </w:p>
    <w:p w14:paraId="1A79801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Перевагою DTT є можливість чіткого структурування навчального матеріалу, систематичного повторення, контролю складності завдань і кількісного оцінювання результатів.</w:t>
      </w:r>
    </w:p>
    <w:p w14:paraId="423403C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Метод може бути корисним під час формування окремих навичок розрізнення, наслідування, розуміння інструкцій та засвоєння навчальних дій.</w:t>
      </w:r>
    </w:p>
    <w:p w14:paraId="6082576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надмірне використання дискретних проб може призводити до обмеження спонтанності, залежності від підказок і недостатнього перенесення сформованих навичок у природні ситуації. Саме тому структуроване навчання доцільно поєднувати з діяльністю, у якій дитина має можливість самостійно використовувати набуті знання.</w:t>
      </w:r>
    </w:p>
    <w:p w14:paraId="035EF11E"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lastRenderedPageBreak/>
        <w:t>Підказки та поступове зменшення допомоги</w:t>
      </w:r>
    </w:p>
    <w:p w14:paraId="6C54CD4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поведінкових методах важливе місце посідають підказки, які допомагають дитині виконати нове або складне завдання.</w:t>
      </w:r>
    </w:p>
    <w:p w14:paraId="0C553F7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Підказки можуть бути словесними, жестовими, візуальними, модельними або фізичними. Їхній вибір залежить від характеру навички, особливостей розвитку дитини та конкретної навчальної ситуації.</w:t>
      </w:r>
    </w:p>
    <w:p w14:paraId="3D719EE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навчання використання комунікативної картки дорослий може спочатку продемонструвати необхідну дію, потім використовувати лише жестову підказку, а згодом створювати умови для самостійного звернення.</w:t>
      </w:r>
    </w:p>
    <w:p w14:paraId="4AEA3E3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Важливим принципом є поступове зменшення допомоги, або </w:t>
      </w:r>
      <w:proofErr w:type="spellStart"/>
      <w:r w:rsidRPr="00EE695B">
        <w:rPr>
          <w:rFonts w:ascii="Times New Roman" w:eastAsia="Times New Roman" w:hAnsi="Times New Roman" w:cs="Times New Roman"/>
          <w:sz w:val="24"/>
          <w:szCs w:val="24"/>
          <w:lang w:eastAsia="uk-UA"/>
        </w:rPr>
        <w:t>fading</w:t>
      </w:r>
      <w:proofErr w:type="spellEnd"/>
      <w:r w:rsidRPr="00EE695B">
        <w:rPr>
          <w:rFonts w:ascii="Times New Roman" w:eastAsia="Times New Roman" w:hAnsi="Times New Roman" w:cs="Times New Roman"/>
          <w:sz w:val="24"/>
          <w:szCs w:val="24"/>
          <w:lang w:eastAsia="uk-UA"/>
        </w:rPr>
        <w:t>. Його мета полягає в забезпеченні самостійності дитини та запобіганні формуванню надмірної залежності від дорослого.</w:t>
      </w:r>
    </w:p>
    <w:p w14:paraId="1760A6B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Необхідно уникати ситуацій, коли дитина виконує завдання лише після багаторазового повторення інструкції або постійного фізичного спрямування. Такі результати не завжди свідчать про самостійне засвоєння навички.</w:t>
      </w:r>
    </w:p>
    <w:p w14:paraId="71E83D7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Особливо обережно слід ставитися до фізичних підказок. Вони повинні відповідати принципам безпеки, добровільності, мінімальної необхідності та поваги до тілесної автономії дитини.</w:t>
      </w:r>
    </w:p>
    <w:p w14:paraId="758B5559"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Формування складних навичок</w:t>
      </w:r>
    </w:p>
    <w:p w14:paraId="7D56240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Для навчання багатокомпонентних дій у поведінкових підходах застосовують аналіз завдання, або </w:t>
      </w:r>
      <w:proofErr w:type="spellStart"/>
      <w:r w:rsidRPr="00EE695B">
        <w:rPr>
          <w:rFonts w:ascii="Times New Roman" w:eastAsia="Times New Roman" w:hAnsi="Times New Roman" w:cs="Times New Roman"/>
          <w:sz w:val="24"/>
          <w:szCs w:val="24"/>
          <w:lang w:eastAsia="uk-UA"/>
        </w:rPr>
        <w:t>task</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analysis</w:t>
      </w:r>
      <w:proofErr w:type="spellEnd"/>
      <w:r w:rsidRPr="00EE695B">
        <w:rPr>
          <w:rFonts w:ascii="Times New Roman" w:eastAsia="Times New Roman" w:hAnsi="Times New Roman" w:cs="Times New Roman"/>
          <w:sz w:val="24"/>
          <w:szCs w:val="24"/>
          <w:lang w:eastAsia="uk-UA"/>
        </w:rPr>
        <w:t>.</w:t>
      </w:r>
    </w:p>
    <w:p w14:paraId="6CB1F62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Складну діяльність поділяють на послідовні операції, які поступово засвоюються дитиною.</w:t>
      </w:r>
    </w:p>
    <w:p w14:paraId="023CA0D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навичка миття рук охоплює відкривання крана, змочування рук, використання мила, намилювання, змивання та витирання. Для дитини, яка має труднощі запам'ятовування послідовності дій, така діяльність може бути представлена у вигляді візуальної інструкції.</w:t>
      </w:r>
    </w:p>
    <w:p w14:paraId="6AF22E6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Навчання може здійснюватися шляхом послідовного формування окремих компонентів або поступового засвоєння всієї послідовності.</w:t>
      </w:r>
    </w:p>
    <w:p w14:paraId="67EAA29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логопедичній практиці аналогічний принцип може застосовуватися під час формування складних комунікативних дій. Наприклад, для участі в діалозі дитині необхідно навчитися ініціювати звернення, повідомляти інформацію, сприймати відповідь співрозмовника та підтримувати подальшу взаємодію.</w:t>
      </w:r>
    </w:p>
    <w:p w14:paraId="2F6BAFB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Однак розподіл складної навички на окремі компоненти не повинен призводити до втрати її цілісного комунікативного змісту.</w:t>
      </w:r>
    </w:p>
    <w:p w14:paraId="51405F1C"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Можливості ABA у роботі з дітьми з РАС</w:t>
      </w:r>
    </w:p>
    <w:p w14:paraId="2D8DA36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Поведінкові методи можуть бути ефективними для формування конкретних функціональних навичок, якщо цілі визначені відповідно до потреб дитини, процедури є етично прийнятними, а результати систематично оцінюються.</w:t>
      </w:r>
    </w:p>
    <w:p w14:paraId="2DC2149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Серед потенційних напрямів застосування ABA важливе місце посідають розвиток функціональної комунікації, навчання самообслуговування, формування навчальної самостійності, засвоєння соціально значущих дій та зменшення небезпечної поведінки шляхом усунення її причин і навчання альтернативних способів реагування.</w:t>
      </w:r>
    </w:p>
    <w:p w14:paraId="099C8F7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необхідно розрізняти ефективність окремих поведінкових процедур і твердження про універсальну ефективність усіх комплексних програм, які позначаються терміном ABA.</w:t>
      </w:r>
    </w:p>
    <w:p w14:paraId="563995C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Наукові дані щодо окремих цілей втручання є переконливішими, ніж щодо інших. Зокрема, результати досліджень комплексних інтенсивних програм можуть відрізнятися залежно від методології, віку учасників, тривалості роботи та використаних показників результативності.</w:t>
      </w:r>
    </w:p>
    <w:p w14:paraId="7A35198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професійно некоректно стверджувати, що ABA є єдиним ефективним методом підтримки дітей з РАС або що певна кількість годин поведінкового втручання є універсально необхідною для всіх дітей.</w:t>
      </w:r>
    </w:p>
    <w:p w14:paraId="6220A555"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Обмеження та етичні аспекти ABA</w:t>
      </w:r>
    </w:p>
    <w:p w14:paraId="197399B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Етичні питання прикладного аналізу поведінки посідають важливе місце в сучасних професійних дискусіях.</w:t>
      </w:r>
    </w:p>
    <w:p w14:paraId="02DC507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Одним із найбільш суттєвих ризиків є надмірна орієнтація на зовнішню відповідність поведінки дитини соціальним очікуванням без урахування її внутрішнього стану, сенсорних потреб і права на індивідуальність.</w:t>
      </w:r>
    </w:p>
    <w:p w14:paraId="59083A1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вимога підтримувати тривалий прямий зоровий контакт може спричиняти значний дискомфорт для окремих дітей з РАС. Якщо така поведінка не є необхідною для функціональної комунікації, її примусове формування не має достатнього педагогічного обґрунтування.</w:t>
      </w:r>
    </w:p>
    <w:p w14:paraId="2BA9D2D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Подібним чином повторювані рухи не повинні автоматично визначатися як небажана поведінка. Для деяких дітей вони виконують функцію саморегуляції, допомагають впоратися з емоційним напруженням або сенсорним навантаженням. Втручання може бути виправданим тоді, коли певна дія становить реальну небезпеку або суттєво обмежує функціонування, причому насамперед необхідно шукати безпечні альтернативи й адаптувати середовище.</w:t>
      </w:r>
    </w:p>
    <w:p w14:paraId="2D0B237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Іншим етичним ризиком є надмірне використання зовнішніх винагород, унаслідок чого дитина може виконувати дії переважно заради отримання підкріплення, а не через їхню природну значущість.</w:t>
      </w:r>
    </w:p>
    <w:p w14:paraId="1F5CEC3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Сучасна практика повинна віддавати перевагу природним наслідкам, підтримці внутрішньої мотивації, можливості вибору та розвитку самостійності.</w:t>
      </w:r>
    </w:p>
    <w:p w14:paraId="4ADDEAB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Особливо важливо уникати покарань, залякування, приниження, примусового утримання, сенсорного перевантаження та інших процедур, які можуть завдавати фізичної або психологічної шкоди.</w:t>
      </w:r>
    </w:p>
    <w:p w14:paraId="3E82634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Етичне втручання передбачає інформовану згоду законних представників, доступне залучення самої дитини до прийняття рішень, повагу до її сигналів згоди або відмови, систематичне оцінювання добробуту та перегляд методів у разі появи ознак </w:t>
      </w:r>
      <w:proofErr w:type="spellStart"/>
      <w:r w:rsidRPr="00EE695B">
        <w:rPr>
          <w:rFonts w:ascii="Times New Roman" w:eastAsia="Times New Roman" w:hAnsi="Times New Roman" w:cs="Times New Roman"/>
          <w:sz w:val="24"/>
          <w:szCs w:val="24"/>
          <w:lang w:eastAsia="uk-UA"/>
        </w:rPr>
        <w:t>дистресу</w:t>
      </w:r>
      <w:proofErr w:type="spellEnd"/>
      <w:r w:rsidRPr="00EE695B">
        <w:rPr>
          <w:rFonts w:ascii="Times New Roman" w:eastAsia="Times New Roman" w:hAnsi="Times New Roman" w:cs="Times New Roman"/>
          <w:sz w:val="24"/>
          <w:szCs w:val="24"/>
          <w:lang w:eastAsia="uk-UA"/>
        </w:rPr>
        <w:t>.</w:t>
      </w:r>
    </w:p>
    <w:p w14:paraId="2B2814E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прикладний аналіз поведінки може бути корисним інструментом психолого-педагогічної підтримки, проте його застосування повинно визначатися не прагненням до формального контролю поведінки, а розвитком соціально значущих навичок, підвищенням самостійності та забезпеченням прав і добробуту особи з РАС.</w:t>
      </w:r>
    </w:p>
    <w:p w14:paraId="3BB6C7E5"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4. Розвивальні підходи до психолого-педагогічної підтримки дітей з РАС</w:t>
      </w:r>
    </w:p>
    <w:p w14:paraId="6E1F7E3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Розвивальні підходи до психолого-педагогічного втручання ґрунтуються на закономірностях становлення психічних функцій, соціальної взаємодії, емоційної регуляції, пізнавальної діяльності та мовлення.</w:t>
      </w:r>
    </w:p>
    <w:p w14:paraId="4939347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 відміну від методів, орієнтованих переважно на формування окремих поведінкових реакцій, розвивальні підходи приділяють значну увагу цілісним процесам розвитку, взаємозв'язку різних психічних функцій та ролі соціальних стосунків у навчанні.</w:t>
      </w:r>
    </w:p>
    <w:p w14:paraId="329F375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Центральне місце в таких підходах посідає взаємодія дитини з дорослим, яка розглядається не лише як засіб передавання знань, а й як важлива умова формування комунікації, емоційного обміну та соціального пізнання.</w:t>
      </w:r>
    </w:p>
    <w:p w14:paraId="2119CFB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Особливого значення набуває положення про те, що розвиток мовлення відбувається у взаємозв'язку з формуванням спільної уваги, наслідування, символічної діяльності, соціальної мотивації та здатності брати участь у спільних діях.</w:t>
      </w:r>
    </w:p>
    <w:p w14:paraId="7643005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практиці підтримки дітей з РАС розвивальні підходи передбачають створення ситуацій природної взаємодії, у яких дорослий враховує ініціативи дитини, підтримує її інтереси, поступово розширює способи спілкування та організовує діяльність відповідно до актуального рівня розвитку.</w:t>
      </w:r>
    </w:p>
    <w:p w14:paraId="0370E76B"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Соціально-емоційна взаємодія як основа розвитку</w:t>
      </w:r>
    </w:p>
    <w:p w14:paraId="1D6AB73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важливих положень розвивальних підходів є визнання ролі емоційно значущих стосунків у формуванні комунікативної активності.</w:t>
      </w:r>
    </w:p>
    <w:p w14:paraId="2204379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Дитина набуває соціального досвіду не лише шляхом засвоєння окремих правил поведінки, а й у процесі спільного переживання подій, обміну емоціями, наслідування та взаємного пристосування до дій партнера.</w:t>
      </w:r>
    </w:p>
    <w:p w14:paraId="16D5579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гри з мильними бульбашками дорослий може створити ситуацію очікування, у якій дитина отримує можливість самостійно ініціювати продовження гри. Такою ініціативою може бути погляд, жест, вокалізація, слово або використання комунікативного символу.</w:t>
      </w:r>
    </w:p>
    <w:p w14:paraId="118D735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У цьому випадку важливим результатом є не відтворення певної мовленнєвої форми, а встановлення зв'язку між власною комунікативною дією та реакцією партнера.</w:t>
      </w:r>
    </w:p>
    <w:p w14:paraId="7A8E179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Поступово дорослий може розширювати взаємодію, моделюючи нові слова, жести, способи чергування дій і коментування подій.</w:t>
      </w:r>
    </w:p>
    <w:p w14:paraId="382BA691"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Підхід DIR/</w:t>
      </w:r>
      <w:proofErr w:type="spellStart"/>
      <w:r w:rsidRPr="00EE695B">
        <w:rPr>
          <w:rFonts w:ascii="Times New Roman" w:eastAsia="Times New Roman" w:hAnsi="Times New Roman" w:cs="Times New Roman"/>
          <w:b/>
          <w:bCs/>
          <w:sz w:val="24"/>
          <w:szCs w:val="24"/>
          <w:lang w:eastAsia="uk-UA"/>
        </w:rPr>
        <w:t>Floortime</w:t>
      </w:r>
      <w:proofErr w:type="spellEnd"/>
    </w:p>
    <w:p w14:paraId="7DA1D0D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відомих розвивальних підходів є DIR/</w:t>
      </w:r>
      <w:proofErr w:type="spellStart"/>
      <w:r w:rsidRPr="00EE695B">
        <w:rPr>
          <w:rFonts w:ascii="Times New Roman" w:eastAsia="Times New Roman" w:hAnsi="Times New Roman" w:cs="Times New Roman"/>
          <w:sz w:val="24"/>
          <w:szCs w:val="24"/>
          <w:lang w:eastAsia="uk-UA"/>
        </w:rPr>
        <w:t>Floortime</w:t>
      </w:r>
      <w:proofErr w:type="spellEnd"/>
      <w:r w:rsidRPr="00EE695B">
        <w:rPr>
          <w:rFonts w:ascii="Times New Roman" w:eastAsia="Times New Roman" w:hAnsi="Times New Roman" w:cs="Times New Roman"/>
          <w:sz w:val="24"/>
          <w:szCs w:val="24"/>
          <w:lang w:eastAsia="uk-UA"/>
        </w:rPr>
        <w:t xml:space="preserve">, у назві якого відображено три ключові складові: </w:t>
      </w:r>
      <w:proofErr w:type="spellStart"/>
      <w:r w:rsidRPr="00EE695B">
        <w:rPr>
          <w:rFonts w:ascii="Times New Roman" w:eastAsia="Times New Roman" w:hAnsi="Times New Roman" w:cs="Times New Roman"/>
          <w:sz w:val="24"/>
          <w:szCs w:val="24"/>
          <w:lang w:eastAsia="uk-UA"/>
        </w:rPr>
        <w:t>Developmental</w:t>
      </w:r>
      <w:proofErr w:type="spellEnd"/>
      <w:r w:rsidRPr="00EE695B">
        <w:rPr>
          <w:rFonts w:ascii="Times New Roman" w:eastAsia="Times New Roman" w:hAnsi="Times New Roman" w:cs="Times New Roman"/>
          <w:sz w:val="24"/>
          <w:szCs w:val="24"/>
          <w:lang w:eastAsia="uk-UA"/>
        </w:rPr>
        <w:t xml:space="preserve"> — розвиток, </w:t>
      </w:r>
      <w:proofErr w:type="spellStart"/>
      <w:r w:rsidRPr="00EE695B">
        <w:rPr>
          <w:rFonts w:ascii="Times New Roman" w:eastAsia="Times New Roman" w:hAnsi="Times New Roman" w:cs="Times New Roman"/>
          <w:sz w:val="24"/>
          <w:szCs w:val="24"/>
          <w:lang w:eastAsia="uk-UA"/>
        </w:rPr>
        <w:t>Individual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Differences</w:t>
      </w:r>
      <w:proofErr w:type="spellEnd"/>
      <w:r w:rsidRPr="00EE695B">
        <w:rPr>
          <w:rFonts w:ascii="Times New Roman" w:eastAsia="Times New Roman" w:hAnsi="Times New Roman" w:cs="Times New Roman"/>
          <w:sz w:val="24"/>
          <w:szCs w:val="24"/>
          <w:lang w:eastAsia="uk-UA"/>
        </w:rPr>
        <w:t xml:space="preserve"> — індивідуальні відмінності, </w:t>
      </w:r>
      <w:proofErr w:type="spellStart"/>
      <w:r w:rsidRPr="00EE695B">
        <w:rPr>
          <w:rFonts w:ascii="Times New Roman" w:eastAsia="Times New Roman" w:hAnsi="Times New Roman" w:cs="Times New Roman"/>
          <w:sz w:val="24"/>
          <w:szCs w:val="24"/>
          <w:lang w:eastAsia="uk-UA"/>
        </w:rPr>
        <w:t>Relationship-based</w:t>
      </w:r>
      <w:proofErr w:type="spellEnd"/>
      <w:r w:rsidRPr="00EE695B">
        <w:rPr>
          <w:rFonts w:ascii="Times New Roman" w:eastAsia="Times New Roman" w:hAnsi="Times New Roman" w:cs="Times New Roman"/>
          <w:sz w:val="24"/>
          <w:szCs w:val="24"/>
          <w:lang w:eastAsia="uk-UA"/>
        </w:rPr>
        <w:t xml:space="preserve"> — орієнтація на стосунки.</w:t>
      </w:r>
    </w:p>
    <w:p w14:paraId="43D5522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Підхід передбачає врахування рівня соціально-емоційного розвитку дитини, її сенсорних і моторних особливостей та використання емоційно значущої взаємодії як основи навчання.</w:t>
      </w:r>
    </w:p>
    <w:p w14:paraId="69BD3C7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Практична реалізація </w:t>
      </w:r>
      <w:proofErr w:type="spellStart"/>
      <w:r w:rsidRPr="00EE695B">
        <w:rPr>
          <w:rFonts w:ascii="Times New Roman" w:eastAsia="Times New Roman" w:hAnsi="Times New Roman" w:cs="Times New Roman"/>
          <w:sz w:val="24"/>
          <w:szCs w:val="24"/>
          <w:lang w:eastAsia="uk-UA"/>
        </w:rPr>
        <w:t>Floortime</w:t>
      </w:r>
      <w:proofErr w:type="spellEnd"/>
      <w:r w:rsidRPr="00EE695B">
        <w:rPr>
          <w:rFonts w:ascii="Times New Roman" w:eastAsia="Times New Roman" w:hAnsi="Times New Roman" w:cs="Times New Roman"/>
          <w:sz w:val="24"/>
          <w:szCs w:val="24"/>
          <w:lang w:eastAsia="uk-UA"/>
        </w:rPr>
        <w:t xml:space="preserve"> пов'язана з організацією ігрових ситуацій, у яких дорослий долучається до діяльності дитини, підтримує її ініціативи та поступово розширює можливості взаємодії.</w:t>
      </w:r>
    </w:p>
    <w:p w14:paraId="1BC5981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дитина виявляє інтерес до іграшкових автомобілів, дорослий може приєднатися до гри, повторювати окремі дії, створювати ситуації спільної уваги та поступово пропонувати нові елементи ігрового сюжету.</w:t>
      </w:r>
    </w:p>
    <w:p w14:paraId="0667A12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Важливою особливістю є прагнення підтримувати активну участь дитини, а не вимагати механічного виконання заздалегідь визначених дій.</w:t>
      </w:r>
    </w:p>
    <w:p w14:paraId="509E8BB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наукову доказовість DIR/</w:t>
      </w:r>
      <w:proofErr w:type="spellStart"/>
      <w:r w:rsidRPr="00EE695B">
        <w:rPr>
          <w:rFonts w:ascii="Times New Roman" w:eastAsia="Times New Roman" w:hAnsi="Times New Roman" w:cs="Times New Roman"/>
          <w:sz w:val="24"/>
          <w:szCs w:val="24"/>
          <w:lang w:eastAsia="uk-UA"/>
        </w:rPr>
        <w:t>Floortime</w:t>
      </w:r>
      <w:proofErr w:type="spellEnd"/>
      <w:r w:rsidRPr="00EE695B">
        <w:rPr>
          <w:rFonts w:ascii="Times New Roman" w:eastAsia="Times New Roman" w:hAnsi="Times New Roman" w:cs="Times New Roman"/>
          <w:sz w:val="24"/>
          <w:szCs w:val="24"/>
          <w:lang w:eastAsia="uk-UA"/>
        </w:rPr>
        <w:t xml:space="preserve"> необхідно оцінювати диференційовано. Окремі дослідження повідомляють про позитивні зміни у взаємодії та розвитку певних навичок, проте якість і масштаб доказової бази не дозволяють беззастережно стверджувати про універсальну ефективність цього підходу.</w:t>
      </w:r>
    </w:p>
    <w:p w14:paraId="6D61F16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DIR/</w:t>
      </w:r>
      <w:proofErr w:type="spellStart"/>
      <w:r w:rsidRPr="00EE695B">
        <w:rPr>
          <w:rFonts w:ascii="Times New Roman" w:eastAsia="Times New Roman" w:hAnsi="Times New Roman" w:cs="Times New Roman"/>
          <w:sz w:val="24"/>
          <w:szCs w:val="24"/>
          <w:lang w:eastAsia="uk-UA"/>
        </w:rPr>
        <w:t>Floortime</w:t>
      </w:r>
      <w:proofErr w:type="spellEnd"/>
      <w:r w:rsidRPr="00EE695B">
        <w:rPr>
          <w:rFonts w:ascii="Times New Roman" w:eastAsia="Times New Roman" w:hAnsi="Times New Roman" w:cs="Times New Roman"/>
          <w:sz w:val="24"/>
          <w:szCs w:val="24"/>
          <w:lang w:eastAsia="uk-UA"/>
        </w:rPr>
        <w:t xml:space="preserve"> доцільно розглядати як один із можливих розвивальних підходів, застосування якого потребує визначення конкретних цілей і систематичного оцінювання результатів.</w:t>
      </w:r>
    </w:p>
    <w:p w14:paraId="61779A31"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Розвиток спільної уваги та символічної гри</w:t>
      </w:r>
    </w:p>
    <w:p w14:paraId="4463419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важливих напрямів розвивального втручання є формування спільної уваги. Її розвиток створює передумови для засвоєння мовлення, соціального навчання та спільної діяльності.</w:t>
      </w:r>
    </w:p>
    <w:p w14:paraId="2ED8E88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процесі роботи дорослий може використовувати цікаві для дитини предмети, іграшки, сенсорні матеріали й події, які природно спонукають до обміну увагою.</w:t>
      </w:r>
    </w:p>
    <w:p w14:paraId="525D10E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гри з повітряною кулькою дорослий може коментувати її рух, створювати короткі паузи та надавати дитині можливість самостійно ініціювати продовження діяльності.</w:t>
      </w:r>
    </w:p>
    <w:p w14:paraId="575E5EE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При цьому не слід вимагати обов'язкового прямого погляду в очі. Спільна увага може реалізовуватися через різні способи координації взаємодії, зокрема жест, вокалізацію, спрямування предмета до партнера або використання засобів АДК.</w:t>
      </w:r>
    </w:p>
    <w:p w14:paraId="5A6BE72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Розвиток символічної гри також має важливе значення для формування мовленнєвих і соціальних навичок. У процесі ігрової діяльності дитина поступово засвоює умовне використання предметів, рольові дії, послідовність подій та способи узгодження власних дій із діями інших людей.</w:t>
      </w:r>
    </w:p>
    <w:p w14:paraId="7890EE6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дітей, які мають труднощі символічної гри, педагог може використовувати моделювання, спільне виконання дій, візуальні підказки та поступове розширення ігрового сюжету.</w:t>
      </w:r>
    </w:p>
    <w:p w14:paraId="6B17010B"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Сімейно-орієнтовані розвивальні втручання</w:t>
      </w:r>
    </w:p>
    <w:p w14:paraId="6C8FE72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Важливою складовою сучасних розвивальних підходів є залучення батьків до підтримки дитини.</w:t>
      </w:r>
    </w:p>
    <w:p w14:paraId="67A47DA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Батьки можуть опановувати стратегії створення комунікативних можливостей у повсякденних ситуаціях: під час одягання, приймання їжі, прогулянок, спільної гри та читання книжок.</w:t>
      </w:r>
    </w:p>
    <w:p w14:paraId="2C74E3C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приготування сніданку дорослий може пропонувати дитині вибір між двома продуктами, коментувати власні дії, використовувати доступні жести або символи та створювати можливості для самостійного звернення.</w:t>
      </w:r>
    </w:p>
    <w:p w14:paraId="1B52418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Такі ситуації забезпечують багаторазове природне використання комунікативних навичок без необхідності перетворювати повсякденне життя родини на безперервний навчальний процес.</w:t>
      </w:r>
    </w:p>
    <w:p w14:paraId="3DA8866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участь батьків повинна ґрунтуватися на партнерстві, а не на перекладанні на них усієї відповідальності за результати втручання. Фахівець має враховувати ресурси родини, її можливості, потреби та психологічне навантаження.</w:t>
      </w:r>
    </w:p>
    <w:p w14:paraId="0539C7C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розвивальні підходи створюють можливості для формування комунікації, соціальної взаємності, гри та емоційної регуляції через природні й значущі для дитини види діяльності.</w:t>
      </w:r>
    </w:p>
    <w:p w14:paraId="14B228BD"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 xml:space="preserve">5. Природні </w:t>
      </w:r>
      <w:proofErr w:type="spellStart"/>
      <w:r w:rsidRPr="00EE695B">
        <w:rPr>
          <w:rFonts w:ascii="Times New Roman" w:eastAsia="Times New Roman" w:hAnsi="Times New Roman" w:cs="Times New Roman"/>
          <w:b/>
          <w:bCs/>
          <w:sz w:val="24"/>
          <w:szCs w:val="24"/>
          <w:lang w:eastAsia="uk-UA"/>
        </w:rPr>
        <w:t>розвивально</w:t>
      </w:r>
      <w:proofErr w:type="spellEnd"/>
      <w:r w:rsidRPr="00EE695B">
        <w:rPr>
          <w:rFonts w:ascii="Times New Roman" w:eastAsia="Times New Roman" w:hAnsi="Times New Roman" w:cs="Times New Roman"/>
          <w:b/>
          <w:bCs/>
          <w:sz w:val="24"/>
          <w:szCs w:val="24"/>
          <w:lang w:eastAsia="uk-UA"/>
        </w:rPr>
        <w:t>-поведінкові втручання (NDBI)</w:t>
      </w:r>
    </w:p>
    <w:p w14:paraId="11D18F6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Одним із перспективних напрямів сучасної психолого-педагогічної підтримки дітей з РАС є природні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 xml:space="preserve">-поведінкові втручання — </w:t>
      </w:r>
      <w:proofErr w:type="spellStart"/>
      <w:r w:rsidRPr="00EE695B">
        <w:rPr>
          <w:rFonts w:ascii="Times New Roman" w:eastAsia="Times New Roman" w:hAnsi="Times New Roman" w:cs="Times New Roman"/>
          <w:sz w:val="24"/>
          <w:szCs w:val="24"/>
          <w:lang w:eastAsia="uk-UA"/>
        </w:rPr>
        <w:t>Naturalistic</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Developmental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Behavioral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Interventions</w:t>
      </w:r>
      <w:proofErr w:type="spellEnd"/>
      <w:r w:rsidRPr="00EE695B">
        <w:rPr>
          <w:rFonts w:ascii="Times New Roman" w:eastAsia="Times New Roman" w:hAnsi="Times New Roman" w:cs="Times New Roman"/>
          <w:sz w:val="24"/>
          <w:szCs w:val="24"/>
          <w:lang w:eastAsia="uk-UA"/>
        </w:rPr>
        <w:t xml:space="preserve"> (NDBI).</w:t>
      </w:r>
    </w:p>
    <w:p w14:paraId="2F77843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Цей підхід сформувався внаслідок інтеграції принципів поведінкового </w:t>
      </w:r>
      <w:proofErr w:type="spellStart"/>
      <w:r w:rsidRPr="00EE695B">
        <w:rPr>
          <w:rFonts w:ascii="Times New Roman" w:eastAsia="Times New Roman" w:hAnsi="Times New Roman" w:cs="Times New Roman"/>
          <w:sz w:val="24"/>
          <w:szCs w:val="24"/>
          <w:lang w:eastAsia="uk-UA"/>
        </w:rPr>
        <w:t>научіння</w:t>
      </w:r>
      <w:proofErr w:type="spellEnd"/>
      <w:r w:rsidRPr="00EE695B">
        <w:rPr>
          <w:rFonts w:ascii="Times New Roman" w:eastAsia="Times New Roman" w:hAnsi="Times New Roman" w:cs="Times New Roman"/>
          <w:sz w:val="24"/>
          <w:szCs w:val="24"/>
          <w:lang w:eastAsia="uk-UA"/>
        </w:rPr>
        <w:t xml:space="preserve"> та закономірностей раннього соціально-комунікативного розвитку.</w:t>
      </w:r>
    </w:p>
    <w:p w14:paraId="1717058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Основною особливістю NDBI є організація навчання в природних ситуаціях, які відповідають інтересам, мотивації та актуальному рівню розвитку дитини.</w:t>
      </w:r>
    </w:p>
    <w:p w14:paraId="693AADB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На відміну від жорстко структурованих навчальних процедур, природні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-поведінкові втручання передбачають використання гри, повсякденних справ, спонтанних комунікативних ініціатив і природних наслідків поведінки.</w:t>
      </w:r>
    </w:p>
    <w:p w14:paraId="0B27BB8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При цьому навчання залишається цілеспрямованим. Фахівець визначає конкретні навички, планує способи їх формування, організовує відповідні ситуації та систематично оцінює результати.</w:t>
      </w:r>
    </w:p>
    <w:p w14:paraId="0E52B0D2"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Основні принципи NDBI</w:t>
      </w:r>
    </w:p>
    <w:p w14:paraId="15561C4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Першим принципом є орієнтація на інтереси дитини. Навчальні ситуації організовуються навколо предметів і видів діяльності, які викликають у неї зацікавленість.</w:t>
      </w:r>
    </w:p>
    <w:p w14:paraId="23881EF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Другий принцип — використання природних комунікативних можливостей. Замість багаторазового відтворення ізольованих відповідей дитина навчається застосовувати нові навички безпосередньо в ситуаціях, де вони мають практичне значення.</w:t>
      </w:r>
    </w:p>
    <w:p w14:paraId="3818F30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Третій принцип — інтеграція різних сфер розвитку. Під час однієї ігрової ситуації можуть одночасно формуватися спільна увага, наслідування, мовленнєве розуміння, комунікативна ініціативність і соціальна взаємність.</w:t>
      </w:r>
    </w:p>
    <w:p w14:paraId="302F17D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Четвертий принцип — активна участь дитини. Вона розглядається не як пасивний об'єкт педагогічного впливу, а як партнер взаємодії, ініціативи якого мають значення для організації навчання.</w:t>
      </w:r>
    </w:p>
    <w:p w14:paraId="19B2B94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П'ятий принцип — використання природного підкріплення. Результатом комунікативної дії є логічно пов'язана з нею подія.</w:t>
      </w:r>
    </w:p>
    <w:p w14:paraId="787B6DC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дитина просить продовжити гру, дорослий продовжує її. Якщо дитина обирає певну іграшку за допомогою символу, вона отримує можливість гратися з обраним предметом.</w:t>
      </w:r>
    </w:p>
    <w:p w14:paraId="32303F78"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proofErr w:type="spellStart"/>
      <w:r w:rsidRPr="00EE695B">
        <w:rPr>
          <w:rFonts w:ascii="Times New Roman" w:eastAsia="Times New Roman" w:hAnsi="Times New Roman" w:cs="Times New Roman"/>
          <w:b/>
          <w:bCs/>
          <w:sz w:val="24"/>
          <w:szCs w:val="24"/>
          <w:lang w:eastAsia="uk-UA"/>
        </w:rPr>
        <w:t>Денверська</w:t>
      </w:r>
      <w:proofErr w:type="spellEnd"/>
      <w:r w:rsidRPr="00EE695B">
        <w:rPr>
          <w:rFonts w:ascii="Times New Roman" w:eastAsia="Times New Roman" w:hAnsi="Times New Roman" w:cs="Times New Roman"/>
          <w:b/>
          <w:bCs/>
          <w:sz w:val="24"/>
          <w:szCs w:val="24"/>
          <w:lang w:eastAsia="uk-UA"/>
        </w:rPr>
        <w:t xml:space="preserve"> модель раннього втручання (ESDM)</w:t>
      </w:r>
    </w:p>
    <w:p w14:paraId="7FFFAAF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Early</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Start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Denver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Model</w:t>
      </w:r>
      <w:proofErr w:type="spellEnd"/>
      <w:r w:rsidRPr="00EE695B">
        <w:rPr>
          <w:rFonts w:ascii="Times New Roman" w:eastAsia="Times New Roman" w:hAnsi="Times New Roman" w:cs="Times New Roman"/>
          <w:sz w:val="24"/>
          <w:szCs w:val="24"/>
          <w:lang w:eastAsia="uk-UA"/>
        </w:rPr>
        <w:t xml:space="preserve"> (ESDM) є однією з найбільш відомих програм природного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-поведінкового втручання для дітей раннього віку.</w:t>
      </w:r>
    </w:p>
    <w:p w14:paraId="0E4DE34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Модель поєднує розвивальний підхід до формування соціально-комунікативних навичок із поведінковими принципами навчання.</w:t>
      </w:r>
    </w:p>
    <w:p w14:paraId="5D14DAD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Особлива увага приділяється розвитку спільної уваги, наслідування, комунікації, гри, соціальної взаємності, пізнавальних та адаптивних навичок.</w:t>
      </w:r>
    </w:p>
    <w:p w14:paraId="041CE90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Навчання організовується переважно через ігрові ситуації, у яких дорослий використовує інтереси дитини, підтримує її ініціативи та поступово ускладнює взаємодію.</w:t>
      </w:r>
    </w:p>
    <w:p w14:paraId="6423EFA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гри з конструктором фахівець може створювати ситуації вибору деталей, чергування дій, коментування результатів і спільного планування наступного етапу гри.</w:t>
      </w:r>
    </w:p>
    <w:p w14:paraId="51AECD0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Наукові дослідження ESDM повідомляють про позитивні результати в окремих сферах розвитку, проте величина ефектів відрізняється залежно від досліджуваних показників. Тому ефективність моделі необхідно оцінювати щодо конкретних цілей, а не розглядати як гарантований спосіб загального покращення всіх сфер розвитку.</w:t>
      </w:r>
    </w:p>
    <w:p w14:paraId="39FBCE06"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proofErr w:type="spellStart"/>
      <w:r w:rsidRPr="00EE695B">
        <w:rPr>
          <w:rFonts w:ascii="Times New Roman" w:eastAsia="Times New Roman" w:hAnsi="Times New Roman" w:cs="Times New Roman"/>
          <w:b/>
          <w:bCs/>
          <w:sz w:val="24"/>
          <w:szCs w:val="24"/>
          <w:lang w:eastAsia="uk-UA"/>
        </w:rPr>
        <w:lastRenderedPageBreak/>
        <w:t>Pivotal</w:t>
      </w:r>
      <w:proofErr w:type="spellEnd"/>
      <w:r w:rsidRPr="00EE695B">
        <w:rPr>
          <w:rFonts w:ascii="Times New Roman" w:eastAsia="Times New Roman" w:hAnsi="Times New Roman" w:cs="Times New Roman"/>
          <w:b/>
          <w:bCs/>
          <w:sz w:val="24"/>
          <w:szCs w:val="24"/>
          <w:lang w:eastAsia="uk-UA"/>
        </w:rPr>
        <w:t xml:space="preserve"> </w:t>
      </w:r>
      <w:proofErr w:type="spellStart"/>
      <w:r w:rsidRPr="00EE695B">
        <w:rPr>
          <w:rFonts w:ascii="Times New Roman" w:eastAsia="Times New Roman" w:hAnsi="Times New Roman" w:cs="Times New Roman"/>
          <w:b/>
          <w:bCs/>
          <w:sz w:val="24"/>
          <w:szCs w:val="24"/>
          <w:lang w:eastAsia="uk-UA"/>
        </w:rPr>
        <w:t>Response</w:t>
      </w:r>
      <w:proofErr w:type="spellEnd"/>
      <w:r w:rsidRPr="00EE695B">
        <w:rPr>
          <w:rFonts w:ascii="Times New Roman" w:eastAsia="Times New Roman" w:hAnsi="Times New Roman" w:cs="Times New Roman"/>
          <w:b/>
          <w:bCs/>
          <w:sz w:val="24"/>
          <w:szCs w:val="24"/>
          <w:lang w:eastAsia="uk-UA"/>
        </w:rPr>
        <w:t xml:space="preserve"> </w:t>
      </w:r>
      <w:proofErr w:type="spellStart"/>
      <w:r w:rsidRPr="00EE695B">
        <w:rPr>
          <w:rFonts w:ascii="Times New Roman" w:eastAsia="Times New Roman" w:hAnsi="Times New Roman" w:cs="Times New Roman"/>
          <w:b/>
          <w:bCs/>
          <w:sz w:val="24"/>
          <w:szCs w:val="24"/>
          <w:lang w:eastAsia="uk-UA"/>
        </w:rPr>
        <w:t>Treatment</w:t>
      </w:r>
      <w:proofErr w:type="spellEnd"/>
      <w:r w:rsidRPr="00EE695B">
        <w:rPr>
          <w:rFonts w:ascii="Times New Roman" w:eastAsia="Times New Roman" w:hAnsi="Times New Roman" w:cs="Times New Roman"/>
          <w:b/>
          <w:bCs/>
          <w:sz w:val="24"/>
          <w:szCs w:val="24"/>
          <w:lang w:eastAsia="uk-UA"/>
        </w:rPr>
        <w:t xml:space="preserve"> (PRT)</w:t>
      </w:r>
    </w:p>
    <w:p w14:paraId="0C1B7F2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Pivotal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Response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Treatment</w:t>
      </w:r>
      <w:proofErr w:type="spellEnd"/>
      <w:r w:rsidRPr="00EE695B">
        <w:rPr>
          <w:rFonts w:ascii="Times New Roman" w:eastAsia="Times New Roman" w:hAnsi="Times New Roman" w:cs="Times New Roman"/>
          <w:sz w:val="24"/>
          <w:szCs w:val="24"/>
          <w:lang w:eastAsia="uk-UA"/>
        </w:rPr>
        <w:t xml:space="preserve"> — метод природного поведінкового втручання, орієнтований на розвиток ключових навичок, які можуть впливати на ширше коло поведінкових і комунікативних проявів.</w:t>
      </w:r>
    </w:p>
    <w:p w14:paraId="15EA56E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До таких навичок належать мотивація до взаємодії, ініціативність, реагування на різноманітні сигнали та саморегуляція.</w:t>
      </w:r>
    </w:p>
    <w:p w14:paraId="5A15DF2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практичній роботі PRT передбачає використання вибору дитини, природних підкріплень, чергування відомих і нових завдань, підтримки самостійних спроб та організації навчання в повсякденних ситуаціях.</w:t>
      </w:r>
    </w:p>
    <w:p w14:paraId="141E83D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дитина цікавиться музичними іграшками, педагог може використовувати їх для розвитку комунікативних ініціатив. Дитина отримує можливість обирати мелодію, просити повторення, повідомляти про завершення гри та залучати дорослого до спільної діяльності.</w:t>
      </w:r>
    </w:p>
    <w:p w14:paraId="71B5343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Особливе значення має підкріплення не лише повністю правильної відповіді, а й функціонально значущої самостійної спроби комунікації.</w:t>
      </w:r>
    </w:p>
    <w:p w14:paraId="4FA1CD2B"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JASPER як технологія розвитку спільної уваги та гри</w:t>
      </w:r>
    </w:p>
    <w:p w14:paraId="0D48CFB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Joint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Attention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Symbolic</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Play</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Engagement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Regulation</w:t>
      </w:r>
      <w:proofErr w:type="spellEnd"/>
      <w:r w:rsidRPr="00EE695B">
        <w:rPr>
          <w:rFonts w:ascii="Times New Roman" w:eastAsia="Times New Roman" w:hAnsi="Times New Roman" w:cs="Times New Roman"/>
          <w:sz w:val="24"/>
          <w:szCs w:val="24"/>
          <w:lang w:eastAsia="uk-UA"/>
        </w:rPr>
        <w:t xml:space="preserve"> (JASPER) — втручання, спрямоване на розвиток спільної уваги, символічної гри, залученості та регуляції поведінки.</w:t>
      </w:r>
    </w:p>
    <w:p w14:paraId="3D54E12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Цей підхід ґрунтується на використанні природної ігрової взаємодії, під час якої дорослий підтримує інтереси дитини та створює можливості для розвитку соціально-комунікативних навичок.</w:t>
      </w:r>
    </w:p>
    <w:p w14:paraId="7C4DF71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Особлива увага приділяється формуванню спільної залученості, коли дитина й дорослий беруть участь у спільній діяльності та координують свої дії.</w:t>
      </w:r>
    </w:p>
    <w:p w14:paraId="560E405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гри з іграшковою залізницею педагог може пропонувати дитині будувати колію разом, обирати напрямок руху поїзда, передавати деталі та коментувати спільні дії.</w:t>
      </w:r>
    </w:p>
    <w:p w14:paraId="7BC65E8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Поступово така взаємодія може </w:t>
      </w:r>
      <w:proofErr w:type="spellStart"/>
      <w:r w:rsidRPr="00EE695B">
        <w:rPr>
          <w:rFonts w:ascii="Times New Roman" w:eastAsia="Times New Roman" w:hAnsi="Times New Roman" w:cs="Times New Roman"/>
          <w:sz w:val="24"/>
          <w:szCs w:val="24"/>
          <w:lang w:eastAsia="uk-UA"/>
        </w:rPr>
        <w:t>ускладнюватися</w:t>
      </w:r>
      <w:proofErr w:type="spellEnd"/>
      <w:r w:rsidRPr="00EE695B">
        <w:rPr>
          <w:rFonts w:ascii="Times New Roman" w:eastAsia="Times New Roman" w:hAnsi="Times New Roman" w:cs="Times New Roman"/>
          <w:sz w:val="24"/>
          <w:szCs w:val="24"/>
          <w:lang w:eastAsia="uk-UA"/>
        </w:rPr>
        <w:t xml:space="preserve"> за рахунок символічних сюжетів, чергування ролей і розширення комунікативних функцій.</w:t>
      </w:r>
    </w:p>
    <w:p w14:paraId="042571F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JASPER має дослідницьку підтримку щодо окремих показників спільної уваги, гри та соціальної залученості. Водночас результати залежать від характеристик учасників, умов реалізації та конкретних показників оцінювання.</w:t>
      </w:r>
    </w:p>
    <w:p w14:paraId="2B9182DF"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Значення NDBI для логопедичної практики</w:t>
      </w:r>
    </w:p>
    <w:p w14:paraId="085667B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Природні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-поведінкові втручання мають особливу цінність для формування комунікативно-мовленнєвої компетентності дітей з РАС.</w:t>
      </w:r>
    </w:p>
    <w:p w14:paraId="75D50AD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Вони дозволяють інтегрувати розвиток словника, граматичної будови, прагматичних навичок, невербальної комунікації та засобів АДК у значущі для дитини види діяльності.</w:t>
      </w:r>
    </w:p>
    <w:p w14:paraId="090D47D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спільного приготування іграшкової їжі можуть формуватися назви предметів, дієслова, прості фразові конструкції, прохання, коментування, вибір і чергування дій.</w:t>
      </w:r>
    </w:p>
    <w:p w14:paraId="5D89373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При цьому важливо не перетворювати кожну природну ситуацію на перевірку знань. Надмірна кількість запитань, постійні вимоги повторювати слова або виконувати інструкції можуть знижувати спонтанність комунікації.</w:t>
      </w:r>
    </w:p>
    <w:p w14:paraId="74179FA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Ефективнішим є поєднання мовленнєвого моделювання, очікування ініціативи, природного коментування та підтримки доступних способів спілкування.</w:t>
      </w:r>
    </w:p>
    <w:p w14:paraId="4954BAB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Таким чином, NDBI створюють можливості для формування навичок у контексті реальної взаємодії, сприяють їх функціональному використанню та забезпечують поєднання педагогічних цілей з інтересами й потребами дитини.</w:t>
      </w:r>
    </w:p>
    <w:p w14:paraId="528C9BE2"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6. Структуроване навчання як технологія організації освітнього середовища</w:t>
      </w:r>
    </w:p>
    <w:p w14:paraId="774501E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Структуроване навчання є одним із важливих напрямів психолого-педагогічної підтримки осіб з РАС. Його основна ідея полягає у створенні зрозумілого, передбачуваного та організованого середовища, яке допомагає дитині орієнтуватися в навчальних ситуаціях, розуміти послідовність дій і поступово розвивати самостійність.</w:t>
      </w:r>
    </w:p>
    <w:p w14:paraId="2D6785E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Особливе значення структуроване навчання має для дітей, які відчувають труднощі сприймання складних усних інструкцій, планування діяльності, переходу між завданнями, організації власної поведінки та розуміння неявних соціальних правил.</w:t>
      </w:r>
    </w:p>
    <w:p w14:paraId="7788367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 xml:space="preserve">Одним із найбільш відомих підходів до структурованого навчання є TEACCH — </w:t>
      </w:r>
      <w:proofErr w:type="spellStart"/>
      <w:r w:rsidRPr="00EE695B">
        <w:rPr>
          <w:rFonts w:ascii="Times New Roman" w:eastAsia="Times New Roman" w:hAnsi="Times New Roman" w:cs="Times New Roman"/>
          <w:sz w:val="24"/>
          <w:szCs w:val="24"/>
          <w:lang w:eastAsia="uk-UA"/>
        </w:rPr>
        <w:t>Treatment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Education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of</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Autistic</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Related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Communication-Handicapped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Children</w:t>
      </w:r>
      <w:proofErr w:type="spellEnd"/>
      <w:r w:rsidRPr="00EE695B">
        <w:rPr>
          <w:rFonts w:ascii="Times New Roman" w:eastAsia="Times New Roman" w:hAnsi="Times New Roman" w:cs="Times New Roman"/>
          <w:sz w:val="24"/>
          <w:szCs w:val="24"/>
          <w:lang w:eastAsia="uk-UA"/>
        </w:rPr>
        <w:t>. Програма виникла у США та поступово розвинулася в комплексний підхід до організації освітнього середовища й підтримки осіб з аутизмом.</w:t>
      </w:r>
    </w:p>
    <w:p w14:paraId="3F9F889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сучасній практиці структуроване навчання TEACCH передбачає врахування індивідуальних особливостей сприймання інформації, організацію фізичного простору, використання візуальних розкладів, робочих систем і зрозумілої структури навчальних матеріалів.</w:t>
      </w:r>
    </w:p>
    <w:p w14:paraId="6647FCC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підкреслити, що структуроване навчання не означає жорсткого обмеження свободи дитини або постійного дотримання незмінного режиму. Його призначення полягає у створенні передбачуваних умов, які зменшують невизначеність і допомагають дитині поступово опановувати нові види діяльності.</w:t>
      </w:r>
    </w:p>
    <w:p w14:paraId="72B8EB54"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Організація фізичного простору</w:t>
      </w:r>
    </w:p>
    <w:p w14:paraId="3B28E69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компонентів структурованого навчання є чітка організація освітнього середовища.</w:t>
      </w:r>
    </w:p>
    <w:p w14:paraId="2B22BFB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Простір може поділятися на функціональні зони: місце індивідуальної роботи, зону групової діяльності, ігровий осередок, місце відпочинку та зону зберігання навчальних матеріалів.</w:t>
      </w:r>
    </w:p>
    <w:p w14:paraId="6F21A44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Таке зонування допомагає дитині зрозуміти, які види діяльності відбуваються в певному місці та які правила з ними пов'язані.</w:t>
      </w:r>
    </w:p>
    <w:p w14:paraId="78A8E91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у зоні індивідуальної роботи можуть розміщуватися стіл, необхідні матеріали та візуальна послідовність завдань. У зоні відпочинку можуть бути доступні предмети, які допомагають дитині відновити емоційну рівновагу.</w:t>
      </w:r>
    </w:p>
    <w:p w14:paraId="030451A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організація простору повинна враховувати індивідуальні сенсорні потреби. Надмірна кількість візуальних матеріалів, яскравих зображень або сторонніх звуків може ускладнювати зосередження уваги.</w:t>
      </w:r>
    </w:p>
    <w:p w14:paraId="57BD7C9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структуроване середовище має бути не максимально насиченим наочністю, а функціонально зрозумілим і доступним.</w:t>
      </w:r>
    </w:p>
    <w:p w14:paraId="1B6074B0"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Організація часу та послідовності діяльності</w:t>
      </w:r>
    </w:p>
    <w:p w14:paraId="5E693C4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Діти з РАС можуть відчувати труднощі розуміння часових відношень і передбачення майбутніх подій. Це може призводити до тривожності під час переходу від однієї діяльності до іншої.</w:t>
      </w:r>
    </w:p>
    <w:p w14:paraId="063A86C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забезпечення передбачуваності використовують індивідуальні розклади, які можуть бути представлені предметами, фотографіями, графічними символами або письмовими повідомленнями.</w:t>
      </w:r>
    </w:p>
    <w:p w14:paraId="0E5133F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послідовність «гра — заняття — прогулянка — обід» може бути представлена у вигляді чотирьох зображень. Після завершення кожного етапу дитина позначає виконану дію та переходить до наступної.</w:t>
      </w:r>
    </w:p>
    <w:p w14:paraId="5C447DD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щоб візуальний розклад не перетворювався на засіб примусу. Дитина повинна мати можливість повідомити про втому, потребу в перерві або необхідність змінити послідовність діяльності.</w:t>
      </w:r>
    </w:p>
    <w:p w14:paraId="4A9CE13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Поступово розклад може використовуватися для розвитку навичок самостійного планування та організації власного часу.</w:t>
      </w:r>
    </w:p>
    <w:p w14:paraId="7F79170D"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Індивідуальні робочі системи</w:t>
      </w:r>
    </w:p>
    <w:p w14:paraId="63765BA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Робоча система допомагає дитині отримати відповіді на кілька важливих запитань: що необхідно зробити, який обсяг роботи потрібно виконати, як визначити завершення завдання та що відбудеться після його виконання.</w:t>
      </w:r>
    </w:p>
    <w:p w14:paraId="4EA6574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на робочому столі можуть бути розміщені три контейнери з навчальними матеріалами. Дитина послідовно виконує завдання з кожного контейнера та переміщує використані матеріали до спеціального місця.</w:t>
      </w:r>
    </w:p>
    <w:p w14:paraId="5E6E26B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Після завершення всіх завдань вона переходить до наступної діяльності, позначеної у візуальному розкладі.</w:t>
      </w:r>
    </w:p>
    <w:p w14:paraId="42CF121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Такий спосіб організації навчання може сприяти розвитку самостійності, зменшенню залежності від постійних усних інструкцій та формуванню навичок завершення діяльності.</w:t>
      </w:r>
    </w:p>
    <w:p w14:paraId="1CF6DD1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Однак складність робочої системи повинна відповідати можливостям дитини. Для одних дітей достатньо двох послідовних завдань, для інших можливе використання складніших систем із кількома етапами.</w:t>
      </w:r>
    </w:p>
    <w:p w14:paraId="458DA808"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Структурування навчальних матеріалів</w:t>
      </w:r>
    </w:p>
    <w:p w14:paraId="6674167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Важливою складовою структурованого навчання є організація матеріалів таким чином, щоб дитина могла зрозуміти зміст завдання з мінімальною кількістю додаткових пояснень.</w:t>
      </w:r>
    </w:p>
    <w:p w14:paraId="0E8ED21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сортування предметів можна використовувати контейнери з відповідними зображеннями. Під час навчання послідовності дій — картки з окремими етапами. Для виконання завдань на співвіднесення — чітко визначені поля або зразки.</w:t>
      </w:r>
    </w:p>
    <w:p w14:paraId="181E5D5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логопедичній практиці структуровані матеріали можуть застосовуватися для формування лексико-граматичних категорій, розуміння мовленнєвих інструкцій, розвитку зв'язного мовлення та засвоєння комунікативних алгоритмів.</w:t>
      </w:r>
    </w:p>
    <w:p w14:paraId="5FEF0FF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навчання побудови речення дитині можна запропонувати візуальну модель, яка містить умовні позначення суб'єкта, дії та об'єкта: «Хто? — Що робить? — Що?».</w:t>
      </w:r>
    </w:p>
    <w:p w14:paraId="7145711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Поступово кількість підказок зменшується, а сформована навичка переноситься у спонтанне мовлення.</w:t>
      </w:r>
    </w:p>
    <w:p w14:paraId="101170AE"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Можливості та обмеження структурованого навчання</w:t>
      </w:r>
    </w:p>
    <w:p w14:paraId="081C828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Структуроване навчання може сприяти підвищенню самостійності, покращенню організації діяльності, зменшенню невизначеності та розвитку адаптивних навичок.</w:t>
      </w:r>
    </w:p>
    <w:p w14:paraId="48C83B2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надмірна структурованість може обмежувати можливості спонтанної взаємодії, самостійного вибору та гнучкого реагування на зміни.</w:t>
      </w:r>
    </w:p>
    <w:p w14:paraId="449307C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доцільно поєднувати структуровані форми навчання з природними ігровими ситуаціями, спільною діяльністю та поступовим розширенням самостійності.</w:t>
      </w:r>
    </w:p>
    <w:p w14:paraId="579E8D1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також розрізняти доказовість окремих компонентів структурованого навчання та ефективність комплексної програми TEACCH загалом. Візуальні розклади, організація робочих систем і структуровані завдання мають практичне та дослідницьке обґрунтування для певних цілей, однак результати досліджень комплексних програм залишаються неоднорідними.</w:t>
      </w:r>
    </w:p>
    <w:p w14:paraId="7896F0A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структуроване навчання доцільно розглядати як технологію забезпечення доступності освітнього середовища, яка має адаптуватися до індивідуальних можливостей дитини та сприяти її самостійності, а не формальному підпорядкуванню встановленому порядку.</w:t>
      </w:r>
    </w:p>
    <w:p w14:paraId="519C6129"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7. Візуальна підтримка в навчанні, комунікації та соціальній взаємодії</w:t>
      </w:r>
    </w:p>
    <w:p w14:paraId="774837D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Візуальна підтримка є одним із широко застосовуваних і науково досліджених засобів психолого-педагогічної допомоги особам з РАС.</w:t>
      </w:r>
    </w:p>
    <w:p w14:paraId="2892F3B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Її сутність полягає у використанні зорово доступної інформації для пояснення завдань, організації діяльності, підтримки комунікації, формування самостійності та забезпечення передбачуваності подій.</w:t>
      </w:r>
    </w:p>
    <w:p w14:paraId="289BBD5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Застосування візуальної підтримки ґрунтується на врахуванні індивідуальних особливостей сприймання й оброблення інформації. Для частини дітей з РАС візуальне представлення інформації може бути доступнішим, ніж тривалі усні пояснення.</w:t>
      </w:r>
    </w:p>
    <w:p w14:paraId="79BABB7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Однак не слід вважати, що всі особи з РАС обов'язково мають переважно візуальний спосіб сприймання інформації. Ефективність візуальної підтримки залежить від індивідуальних можливостей дитини, рівня розуміння символів, сенсорних особливостей і характеру завдання.</w:t>
      </w:r>
    </w:p>
    <w:p w14:paraId="0BB6CBC7"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Основні види візуальної підтримки</w:t>
      </w:r>
    </w:p>
    <w:p w14:paraId="7EB45B6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найпоширеніших засобів є візуальний розклад, який відображає послідовність подій протягом дня або окремого заняття.</w:t>
      </w:r>
    </w:p>
    <w:p w14:paraId="6823242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дітей раннього віку та осіб, які ще не розуміють графічних символів, можуть використовуватися реальні предмети або предметні підказки.</w:t>
      </w:r>
    </w:p>
    <w:p w14:paraId="272FE78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ложка може позначати приймання їжі, рушник — умивання, а м'яч — рухливу гру. Поступово предметні сигнали можуть замінюватися фотографіями або графічними символами, якщо дитина демонструє розуміння відповідних позначень.</w:t>
      </w:r>
    </w:p>
    <w:p w14:paraId="73D218A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дітей, які володіють читанням, доцільно використовувати письмові розклади, короткі інструкції та списки послідовних дій.</w:t>
      </w:r>
    </w:p>
    <w:p w14:paraId="5E09C7F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Іншим видом є візуальні алгоритми, які відображають окремі етапи складної діяльності. Вони можуть використовуватися під час самообслуговування, виконання навчальних завдань, організації гри або підготовки до певної події.</w:t>
      </w:r>
    </w:p>
    <w:p w14:paraId="3849393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алгоритм підготовки до прогулянки може містити послідовність: одягнути верхній одяг, взутися, взяти необхідні речі та перейти до виходу.</w:t>
      </w:r>
    </w:p>
    <w:p w14:paraId="6C245E0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Візуальні правила допомагають пояснювати очікувані способи поведінки в конкретних ситуаціях. Важливо формулювати їх позитивно, зрозуміло та відповідно до віку.</w:t>
      </w:r>
    </w:p>
    <w:p w14:paraId="4A37053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Замість загального повідомлення «Не заважай іншим» доцільніше використати конкретну візуальну інструкцію, наприклад «Чекаємо своєї черги», якщо саме ця навичка є метою навчання.</w:t>
      </w:r>
    </w:p>
    <w:p w14:paraId="3BD0A38B"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Візуальна підтримка комунікації</w:t>
      </w:r>
    </w:p>
    <w:p w14:paraId="4E1ECFA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Особливе значення візуальні засоби мають для дітей, які відчувають труднощі усного мовлення.</w:t>
      </w:r>
    </w:p>
    <w:p w14:paraId="0F122B4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Комунікативні картки, графічні символи, фотографії та електронні засоби АДК можуть використовуватися для висловлення прохань, вибору, повідомлення про емоції, коментування подій і підтримання соціальної взаємодії.</w:t>
      </w:r>
    </w:p>
    <w:p w14:paraId="471390F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Необхідно розрізняти візуальні підказки та засоби альтернативної і додаткової комунікації. Візуальна підказка переважно допомагає зрозуміти інформацію або організувати діяльність. Засіб АДК надає дитині можливість самостійно передавати повідомлення іншим людям.</w:t>
      </w:r>
    </w:p>
    <w:p w14:paraId="54AE5BA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картка із зображенням склянки може використовуватися дорослим для повідомлення про майбутній прийом напою. Однак якщо дитина самостійно обирає цей символ для прохання води, він виконує функцію комунікативного засобу.</w:t>
      </w:r>
    </w:p>
    <w:p w14:paraId="4000024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логопедичній практиці важливо забезпечувати доступність АДК у різних ситуаціях, а не лише під час спеціально організованого заняття.</w:t>
      </w:r>
    </w:p>
    <w:p w14:paraId="5B63E5A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Якщо дитина має комунікативну книгу або електронний пристрій, він повинен бути доступним під час гри, приймання їжі, прогулянок та інших повсякденних видів діяльності.</w:t>
      </w:r>
    </w:p>
    <w:p w14:paraId="226E6102"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Візуальна підтримка емоційної регуляції</w:t>
      </w:r>
    </w:p>
    <w:p w14:paraId="7F8C50A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Візуальні засоби можуть застосовуватися для допомоги дитині в розпізнаванні власного стану, повідомленні про дискомфорт і виборі доступних стратегій саморегуляції.</w:t>
      </w:r>
    </w:p>
    <w:p w14:paraId="450023F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індивідуальна шкала емоційного стану може містити зрозумілі дитині позначення різного рівня напруження.</w:t>
      </w:r>
    </w:p>
    <w:p w14:paraId="316F8A6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Поруч можуть розміщуватися зображення доступних способів підтримки: відпочинок, звернення по допомогу, використання навушників, коротка рухова активність або перехід до спокійного простору.</w:t>
      </w:r>
    </w:p>
    <w:p w14:paraId="1F1E421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щоб дитина не лише впізнавала відповідні зображення, а й мала реальну можливість скористатися зазначеними способами підтримки.</w:t>
      </w:r>
    </w:p>
    <w:p w14:paraId="66D9C1D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Недоцільно застосовувати візуальні шкали як засіб контролю або оцінювання «правильності» емоцій дитини. Їхнє призначення полягає в розвитку усвідомлення власних потреб і доступних способів саморегуляції.</w:t>
      </w:r>
    </w:p>
    <w:p w14:paraId="4AEF623A"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 xml:space="preserve">Соціальні </w:t>
      </w:r>
      <w:proofErr w:type="spellStart"/>
      <w:r w:rsidRPr="00EE695B">
        <w:rPr>
          <w:rFonts w:ascii="Times New Roman" w:eastAsia="Times New Roman" w:hAnsi="Times New Roman" w:cs="Times New Roman"/>
          <w:b/>
          <w:bCs/>
          <w:sz w:val="24"/>
          <w:szCs w:val="24"/>
          <w:lang w:eastAsia="uk-UA"/>
        </w:rPr>
        <w:t>наративи</w:t>
      </w:r>
      <w:proofErr w:type="spellEnd"/>
    </w:p>
    <w:p w14:paraId="5C98193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Одним із засобів візуальної та мовленнєвої підтримки є соціальні </w:t>
      </w:r>
      <w:proofErr w:type="spellStart"/>
      <w:r w:rsidRPr="00EE695B">
        <w:rPr>
          <w:rFonts w:ascii="Times New Roman" w:eastAsia="Times New Roman" w:hAnsi="Times New Roman" w:cs="Times New Roman"/>
          <w:sz w:val="24"/>
          <w:szCs w:val="24"/>
          <w:lang w:eastAsia="uk-UA"/>
        </w:rPr>
        <w:t>наративи</w:t>
      </w:r>
      <w:proofErr w:type="spellEnd"/>
      <w:r w:rsidRPr="00EE695B">
        <w:rPr>
          <w:rFonts w:ascii="Times New Roman" w:eastAsia="Times New Roman" w:hAnsi="Times New Roman" w:cs="Times New Roman"/>
          <w:sz w:val="24"/>
          <w:szCs w:val="24"/>
          <w:lang w:eastAsia="uk-UA"/>
        </w:rPr>
        <w:t xml:space="preserve"> — короткі описи соціальних ситуацій, які допомагають дитині зрозуміти послідовність подій, можливі дії учасників і доступні способи реагування.</w:t>
      </w:r>
    </w:p>
    <w:p w14:paraId="520C647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Наприклад, перед відвідуванням бібліотеки можна підготувати короткий </w:t>
      </w:r>
      <w:proofErr w:type="spellStart"/>
      <w:r w:rsidRPr="00EE695B">
        <w:rPr>
          <w:rFonts w:ascii="Times New Roman" w:eastAsia="Times New Roman" w:hAnsi="Times New Roman" w:cs="Times New Roman"/>
          <w:sz w:val="24"/>
          <w:szCs w:val="24"/>
          <w:lang w:eastAsia="uk-UA"/>
        </w:rPr>
        <w:t>наратив</w:t>
      </w:r>
      <w:proofErr w:type="spellEnd"/>
      <w:r w:rsidRPr="00EE695B">
        <w:rPr>
          <w:rFonts w:ascii="Times New Roman" w:eastAsia="Times New Roman" w:hAnsi="Times New Roman" w:cs="Times New Roman"/>
          <w:sz w:val="24"/>
          <w:szCs w:val="24"/>
          <w:lang w:eastAsia="uk-UA"/>
        </w:rPr>
        <w:t>, у якому пояснюється, що дитина побачить у приміщенні, як можна обрати книжку, до кого звернутися по допомогу та що робити в разі перевтоми.</w:t>
      </w:r>
    </w:p>
    <w:p w14:paraId="407805D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Соціальний </w:t>
      </w:r>
      <w:proofErr w:type="spellStart"/>
      <w:r w:rsidRPr="00EE695B">
        <w:rPr>
          <w:rFonts w:ascii="Times New Roman" w:eastAsia="Times New Roman" w:hAnsi="Times New Roman" w:cs="Times New Roman"/>
          <w:sz w:val="24"/>
          <w:szCs w:val="24"/>
          <w:lang w:eastAsia="uk-UA"/>
        </w:rPr>
        <w:t>наратив</w:t>
      </w:r>
      <w:proofErr w:type="spellEnd"/>
      <w:r w:rsidRPr="00EE695B">
        <w:rPr>
          <w:rFonts w:ascii="Times New Roman" w:eastAsia="Times New Roman" w:hAnsi="Times New Roman" w:cs="Times New Roman"/>
          <w:sz w:val="24"/>
          <w:szCs w:val="24"/>
          <w:lang w:eastAsia="uk-UA"/>
        </w:rPr>
        <w:t xml:space="preserve"> повинен бути індивідуалізованим, зрозумілим і позбавленим залякування або надмірних вимог до поведінки.</w:t>
      </w:r>
    </w:p>
    <w:p w14:paraId="57861C8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не перетворювати його на перелік заборон. Доцільніше описувати ситуацію, пояснювати її особливості та пропонувати доступні варіанти дій.</w:t>
      </w:r>
    </w:p>
    <w:p w14:paraId="4F00F25B"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Умови ефективного використання візуальної підтримки</w:t>
      </w:r>
    </w:p>
    <w:p w14:paraId="725E774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Результативність візуальних засобів залежить від правильності їх добору та систематичного використання.</w:t>
      </w:r>
    </w:p>
    <w:p w14:paraId="2D13DAE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Передусім необхідно переконатися, що дитина розуміє відповідні зображення або символи. Наявність красивої та яскравої картки не гарантує її функціональної доступності.</w:t>
      </w:r>
    </w:p>
    <w:p w14:paraId="6DC1BB9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Необхідно також уникати надмірного інформаційного навантаження. Велика кількість одночасно представлених символів може ускладнювати орієнтування та знижувати ефективність підтримки.</w:t>
      </w:r>
    </w:p>
    <w:p w14:paraId="3C466A5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Візуальні матеріали повинні відповідати віку, інтересам і можливостям дитини, а також використовуватися послідовно різними дорослими.</w:t>
      </w:r>
    </w:p>
    <w:p w14:paraId="746B822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міру розвитку самостійності окремі підказки можуть поступово зменшуватися або змінюватися. Водночас відсутня необхідність повністю усувати візуальну підтримку, якщо вона залишається корисним засобом організації діяльності.</w:t>
      </w:r>
    </w:p>
    <w:p w14:paraId="5B6DACA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візуальна підтримка є важливою технологією забезпечення доступності інформації, розвитку комунікації, самостійності та соціальної участі дітей з РАС.</w:t>
      </w:r>
    </w:p>
    <w:p w14:paraId="19852E0E"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8. Позитивна поведінкова підтримка осіб з РАС</w:t>
      </w:r>
    </w:p>
    <w:p w14:paraId="2544891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Позитивна поведінкова підтримка — </w:t>
      </w:r>
      <w:proofErr w:type="spellStart"/>
      <w:r w:rsidRPr="00EE695B">
        <w:rPr>
          <w:rFonts w:ascii="Times New Roman" w:eastAsia="Times New Roman" w:hAnsi="Times New Roman" w:cs="Times New Roman"/>
          <w:sz w:val="24"/>
          <w:szCs w:val="24"/>
          <w:lang w:eastAsia="uk-UA"/>
        </w:rPr>
        <w:t>Positive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Behavior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Support</w:t>
      </w:r>
      <w:proofErr w:type="spellEnd"/>
      <w:r w:rsidRPr="00EE695B">
        <w:rPr>
          <w:rFonts w:ascii="Times New Roman" w:eastAsia="Times New Roman" w:hAnsi="Times New Roman" w:cs="Times New Roman"/>
          <w:sz w:val="24"/>
          <w:szCs w:val="24"/>
          <w:lang w:eastAsia="uk-UA"/>
        </w:rPr>
        <w:t xml:space="preserve"> (PBS) — є системним підходом до попередження та зменшення поведінки, яка становить небезпеку, спричиняє значний </w:t>
      </w:r>
      <w:proofErr w:type="spellStart"/>
      <w:r w:rsidRPr="00EE695B">
        <w:rPr>
          <w:rFonts w:ascii="Times New Roman" w:eastAsia="Times New Roman" w:hAnsi="Times New Roman" w:cs="Times New Roman"/>
          <w:sz w:val="24"/>
          <w:szCs w:val="24"/>
          <w:lang w:eastAsia="uk-UA"/>
        </w:rPr>
        <w:t>дистрес</w:t>
      </w:r>
      <w:proofErr w:type="spellEnd"/>
      <w:r w:rsidRPr="00EE695B">
        <w:rPr>
          <w:rFonts w:ascii="Times New Roman" w:eastAsia="Times New Roman" w:hAnsi="Times New Roman" w:cs="Times New Roman"/>
          <w:sz w:val="24"/>
          <w:szCs w:val="24"/>
          <w:lang w:eastAsia="uk-UA"/>
        </w:rPr>
        <w:t xml:space="preserve"> або суттєво обмежує участь особи в повсякденному житті.</w:t>
      </w:r>
    </w:p>
    <w:p w14:paraId="514BB4B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Основною особливістю позитивної поведінкової підтримки є відмова від розгляду поведінкових труднощів виключно як проявів неслухняності, недостатньої дисципліни або небажання виконувати вимоги дорослого.</w:t>
      </w:r>
    </w:p>
    <w:p w14:paraId="60615C6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Натомість поведінка аналізується у взаємозв'язку з потребами людини, її комунікативними можливостями, емоційним станом, особливостями середовища та попереднім досвідом взаємодії.</w:t>
      </w:r>
    </w:p>
    <w:p w14:paraId="12238A0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Позитивна поведінкова підтримка інтегрує принципи функціонального оцінювання поведінки, навчання альтернативних навичок, адаптації середовища та підвищення якості життя.</w:t>
      </w:r>
    </w:p>
    <w:p w14:paraId="7874075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сучасній практиці особливе значення має розуміння того, що поведінка може виконувати певну функцію, навіть якщо її зовнішні прояви здаються дорослим незрозумілими.</w:t>
      </w:r>
    </w:p>
    <w:p w14:paraId="164B512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дитина може голосно кричати під час групового заняття. Така реакція може бути пов'язана із сенсорним перевантаженням, складністю завдання, потребою в перерві, болем або неможливістю повідомити про власний стан.</w:t>
      </w:r>
    </w:p>
    <w:p w14:paraId="627615D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Якщо фахівець обмежується вимогою припинити крик, не з'ясовуючи його можливих причин, втручання може виявитися неефективним або посилити </w:t>
      </w:r>
      <w:proofErr w:type="spellStart"/>
      <w:r w:rsidRPr="00EE695B">
        <w:rPr>
          <w:rFonts w:ascii="Times New Roman" w:eastAsia="Times New Roman" w:hAnsi="Times New Roman" w:cs="Times New Roman"/>
          <w:sz w:val="24"/>
          <w:szCs w:val="24"/>
          <w:lang w:eastAsia="uk-UA"/>
        </w:rPr>
        <w:t>дистрес</w:t>
      </w:r>
      <w:proofErr w:type="spellEnd"/>
      <w:r w:rsidRPr="00EE695B">
        <w:rPr>
          <w:rFonts w:ascii="Times New Roman" w:eastAsia="Times New Roman" w:hAnsi="Times New Roman" w:cs="Times New Roman"/>
          <w:sz w:val="24"/>
          <w:szCs w:val="24"/>
          <w:lang w:eastAsia="uk-UA"/>
        </w:rPr>
        <w:t>.</w:t>
      </w:r>
    </w:p>
    <w:p w14:paraId="672FF766"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Функціональне оцінювання поведінки</w:t>
      </w:r>
    </w:p>
    <w:p w14:paraId="3632E34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Функціональне оцінювання поведінки — </w:t>
      </w:r>
      <w:proofErr w:type="spellStart"/>
      <w:r w:rsidRPr="00EE695B">
        <w:rPr>
          <w:rFonts w:ascii="Times New Roman" w:eastAsia="Times New Roman" w:hAnsi="Times New Roman" w:cs="Times New Roman"/>
          <w:sz w:val="24"/>
          <w:szCs w:val="24"/>
          <w:lang w:eastAsia="uk-UA"/>
        </w:rPr>
        <w:t>Functional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Behavior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Assessment</w:t>
      </w:r>
      <w:proofErr w:type="spellEnd"/>
      <w:r w:rsidRPr="00EE695B">
        <w:rPr>
          <w:rFonts w:ascii="Times New Roman" w:eastAsia="Times New Roman" w:hAnsi="Times New Roman" w:cs="Times New Roman"/>
          <w:sz w:val="24"/>
          <w:szCs w:val="24"/>
          <w:lang w:eastAsia="uk-UA"/>
        </w:rPr>
        <w:t xml:space="preserve"> (FBA) — передбачає систематичне збирання інформації про умови виникнення поведінки, її характеристики та можливі наслідки.</w:t>
      </w:r>
    </w:p>
    <w:p w14:paraId="5946628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Основним завданням є формування обґрунтованої гіпотези щодо чинників, які сприяють виникненню або підтриманню певної поведінки.</w:t>
      </w:r>
    </w:p>
    <w:p w14:paraId="7C3F9EC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Під час оцінювання враховують частоту, тривалість, інтенсивність і контекст поведінкових проявів.</w:t>
      </w:r>
    </w:p>
    <w:p w14:paraId="2FBC07A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Наприклад, якщо дитина систематично залишає робоче місце під час виконання письмових завдань, необхідно визначити, чи пов'язана така поведінка зі складністю </w:t>
      </w:r>
      <w:proofErr w:type="spellStart"/>
      <w:r w:rsidRPr="00EE695B">
        <w:rPr>
          <w:rFonts w:ascii="Times New Roman" w:eastAsia="Times New Roman" w:hAnsi="Times New Roman" w:cs="Times New Roman"/>
          <w:sz w:val="24"/>
          <w:szCs w:val="24"/>
          <w:lang w:eastAsia="uk-UA"/>
        </w:rPr>
        <w:t>графомоторних</w:t>
      </w:r>
      <w:proofErr w:type="spellEnd"/>
      <w:r w:rsidRPr="00EE695B">
        <w:rPr>
          <w:rFonts w:ascii="Times New Roman" w:eastAsia="Times New Roman" w:hAnsi="Times New Roman" w:cs="Times New Roman"/>
          <w:sz w:val="24"/>
          <w:szCs w:val="24"/>
          <w:lang w:eastAsia="uk-UA"/>
        </w:rPr>
        <w:t xml:space="preserve"> дій, тривалістю діяльності, сенсорними умовами або потребою в руховій активності.</w:t>
      </w:r>
    </w:p>
    <w:p w14:paraId="5B7F2C3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Важливим джерелом інформації є спостереження в природних умовах, бесіди з батьками та педагогами, аналіз попередніх ситуацій і оцінювання комунікативних можливостей дитини.</w:t>
      </w:r>
    </w:p>
    <w:p w14:paraId="38D05F4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При цьому слід враховувати, що поведінка може мати декілька функцій, а її причини можуть змінюватися залежно від контексту.</w:t>
      </w:r>
    </w:p>
    <w:p w14:paraId="2CE3CEBB"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Функціональне комунікативне навчання</w:t>
      </w:r>
    </w:p>
    <w:p w14:paraId="3A7EAEA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Одним із важливих напрямів позитивної поведінкової підтримки є </w:t>
      </w:r>
      <w:proofErr w:type="spellStart"/>
      <w:r w:rsidRPr="00EE695B">
        <w:rPr>
          <w:rFonts w:ascii="Times New Roman" w:eastAsia="Times New Roman" w:hAnsi="Times New Roman" w:cs="Times New Roman"/>
          <w:sz w:val="24"/>
          <w:szCs w:val="24"/>
          <w:lang w:eastAsia="uk-UA"/>
        </w:rPr>
        <w:t>Functional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Communication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Training</w:t>
      </w:r>
      <w:proofErr w:type="spellEnd"/>
      <w:r w:rsidRPr="00EE695B">
        <w:rPr>
          <w:rFonts w:ascii="Times New Roman" w:eastAsia="Times New Roman" w:hAnsi="Times New Roman" w:cs="Times New Roman"/>
          <w:sz w:val="24"/>
          <w:szCs w:val="24"/>
          <w:lang w:eastAsia="uk-UA"/>
        </w:rPr>
        <w:t xml:space="preserve"> (FCT) — функціональне комунікативне навчання.</w:t>
      </w:r>
    </w:p>
    <w:p w14:paraId="28FF2AE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Його сутність полягає у формуванні доступного способу комунікації, який дозволяє дитині досягати тієї самої мети, що раніше реалізовувалася через небезпечну або неефективну поведінку.</w:t>
      </w:r>
    </w:p>
    <w:p w14:paraId="601D27B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Наприклад, дитина може кидати навчальні матеріали, коли завдання стає надто складним. Після функціонального оцінювання встановлюють, що така поведінка часто виникає в ситуаціях перевантаження та супроводжується припиненням діяльності.</w:t>
      </w:r>
    </w:p>
    <w:p w14:paraId="5989B53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такому випадку доцільно навчити дитину повідомляти про потребу в допомозі або перерві за допомогою слова, жесту чи графічного символу.</w:t>
      </w:r>
    </w:p>
    <w:p w14:paraId="12F9734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навчання альтернативного способу комунікації повинно супроводжуватися реальною готовністю дорослого реагувати на відповідне повідомлення.</w:t>
      </w:r>
    </w:p>
    <w:p w14:paraId="06C8D13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Якщо дитину навчили використовувати картку «Перерва», але систематично ігнорують її прохання, комунікативна навичка може втратити функціональне значення.</w:t>
      </w:r>
    </w:p>
    <w:p w14:paraId="610E59E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Особливе місце у FCT посідає співпраця вчителя-логопеда з психологом, педагогами та батьками. Вчитель-логопед допомагає визначити доступний комунікативний засіб, сформувати відповідну навичку та забезпечити її використання в різних ситуаціях.</w:t>
      </w:r>
    </w:p>
    <w:p w14:paraId="7E9C04F3"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Профілактика поведінкових труднощів</w:t>
      </w:r>
    </w:p>
    <w:p w14:paraId="4276DF2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Позитивна поведінкова підтримка передбачає пріоритет профілактичних заходів над реагуванням на вже сформовані труднощі.</w:t>
      </w:r>
    </w:p>
    <w:p w14:paraId="655BC53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До профілактичних стратегій належать адаптація сенсорного середовища, забезпечення передбачуваності діяльності, використання зрозумілих інструкцій, надання можливості вибору, регулювання складності завдань і забезпечення доступних перерв.</w:t>
      </w:r>
    </w:p>
    <w:p w14:paraId="0CA8C37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дитина відчуває значний дискомфорт під час гучних музичних занять, доцільно заздалегідь передбачити можливість використання засобів зменшення шуму, вибору місця в приміщенні або короткочасного виходу до спокійнішого простору.</w:t>
      </w:r>
    </w:p>
    <w:p w14:paraId="415F7DD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Такий підхід дозволяє зменшити ймовірність виникнення кризової ситуації без необхідності застосування обмежувальних заходів.</w:t>
      </w:r>
    </w:p>
    <w:p w14:paraId="076B007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також враховувати, що поведінкові труднощі можуть посилюватися через фізичний дискомфорт, порушення сну, біль, тривожність або інші супутні стани. У відповідних випадках необхідна взаємодія з медичними фахівцями.</w:t>
      </w:r>
    </w:p>
    <w:p w14:paraId="2EFC9B09"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Позитивна поведінкова підтримка в освітньому середовищі</w:t>
      </w:r>
    </w:p>
    <w:p w14:paraId="2BD473A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У закладах освіти PBS може реалізовуватися на індивідуальному, груповому та </w:t>
      </w:r>
      <w:proofErr w:type="spellStart"/>
      <w:r w:rsidRPr="00EE695B">
        <w:rPr>
          <w:rFonts w:ascii="Times New Roman" w:eastAsia="Times New Roman" w:hAnsi="Times New Roman" w:cs="Times New Roman"/>
          <w:sz w:val="24"/>
          <w:szCs w:val="24"/>
          <w:lang w:eastAsia="uk-UA"/>
        </w:rPr>
        <w:t>загальноорганізаційному</w:t>
      </w:r>
      <w:proofErr w:type="spellEnd"/>
      <w:r w:rsidRPr="00EE695B">
        <w:rPr>
          <w:rFonts w:ascii="Times New Roman" w:eastAsia="Times New Roman" w:hAnsi="Times New Roman" w:cs="Times New Roman"/>
          <w:sz w:val="24"/>
          <w:szCs w:val="24"/>
          <w:lang w:eastAsia="uk-UA"/>
        </w:rPr>
        <w:t xml:space="preserve"> рівнях.</w:t>
      </w:r>
    </w:p>
    <w:p w14:paraId="106576C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 загальному рівні важливими є створення доброзичливого середовища, зрозумілих правил, доступної комунікації та передбачуваної організації освітнього процесу.</w:t>
      </w:r>
    </w:p>
    <w:p w14:paraId="1F8B8BF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 груповому рівні можуть використовуватися візуальні інструкції, навчання соціальних навичок, підтримка взаємодії між однолітками та адаптація спільної діяльності.</w:t>
      </w:r>
    </w:p>
    <w:p w14:paraId="47852F0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Індивідуальний рівень передбачає визначення конкретних потреб дитини, проведення функціонального оцінювання та розроблення персоналізованого плану підтримки.</w:t>
      </w:r>
    </w:p>
    <w:p w14:paraId="5B696D5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дитина має труднощі очікування черги під час гри, педагог може використовувати візуальний сигнал чергування, короткі передбачувані інтервали очікування та доступний спосіб повідомлення про бажання продовжити діяльність.</w:t>
      </w:r>
    </w:p>
    <w:p w14:paraId="769487F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При цьому метою є не формальне підпорядкування правилам, а формування навички участі у спільній діяльності з урахуванням можливостей дитини.</w:t>
      </w:r>
    </w:p>
    <w:p w14:paraId="3B319F2C"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Етичні засади позитивної поведінкової підтримки</w:t>
      </w:r>
    </w:p>
    <w:p w14:paraId="79B41F8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Етична основа PBS полягає в повазі до гідності, прав і потреб особи.</w:t>
      </w:r>
    </w:p>
    <w:p w14:paraId="0E2AF90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Втручання не повинно бути спрямоване на усунення нешкідливих індивідуальних особливостей поведінки лише тому, що вони відрізняються від соціально очікуваних.</w:t>
      </w:r>
    </w:p>
    <w:p w14:paraId="21A154B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Особливе значення має розмежування поведінки, яка становить реальну небезпеку, та поведінки, яка лише здається незвичною.</w:t>
      </w:r>
    </w:p>
    <w:p w14:paraId="453CE1E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Наприклад, повторювані рухи руками можуть виконувати функцію саморегуляції та не потребувати корекції. Натомість </w:t>
      </w:r>
      <w:proofErr w:type="spellStart"/>
      <w:r w:rsidRPr="00EE695B">
        <w:rPr>
          <w:rFonts w:ascii="Times New Roman" w:eastAsia="Times New Roman" w:hAnsi="Times New Roman" w:cs="Times New Roman"/>
          <w:sz w:val="24"/>
          <w:szCs w:val="24"/>
          <w:lang w:eastAsia="uk-UA"/>
        </w:rPr>
        <w:t>самоушкоджувальна</w:t>
      </w:r>
      <w:proofErr w:type="spellEnd"/>
      <w:r w:rsidRPr="00EE695B">
        <w:rPr>
          <w:rFonts w:ascii="Times New Roman" w:eastAsia="Times New Roman" w:hAnsi="Times New Roman" w:cs="Times New Roman"/>
          <w:sz w:val="24"/>
          <w:szCs w:val="24"/>
          <w:lang w:eastAsia="uk-UA"/>
        </w:rPr>
        <w:t xml:space="preserve"> поведінка вимагає комплексного оцінювання причин, забезпечення безпеки та розроблення індивідуальної програми підтримки.</w:t>
      </w:r>
    </w:p>
    <w:p w14:paraId="4BB23AF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Під час кризових ситуацій першочерговими завданнями є забезпечення безпеки, зменшення навантаження, деескалація та відновлення доступної комунікації.</w:t>
      </w:r>
    </w:p>
    <w:p w14:paraId="0F8C375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Фізичні обмежувальні заходи не можуть розглядатися як звичайний метод педагогічного навчання або засіб </w:t>
      </w:r>
      <w:proofErr w:type="spellStart"/>
      <w:r w:rsidRPr="00EE695B">
        <w:rPr>
          <w:rFonts w:ascii="Times New Roman" w:eastAsia="Times New Roman" w:hAnsi="Times New Roman" w:cs="Times New Roman"/>
          <w:sz w:val="24"/>
          <w:szCs w:val="24"/>
          <w:lang w:eastAsia="uk-UA"/>
        </w:rPr>
        <w:t>дисциплінування</w:t>
      </w:r>
      <w:proofErr w:type="spellEnd"/>
      <w:r w:rsidRPr="00EE695B">
        <w:rPr>
          <w:rFonts w:ascii="Times New Roman" w:eastAsia="Times New Roman" w:hAnsi="Times New Roman" w:cs="Times New Roman"/>
          <w:sz w:val="24"/>
          <w:szCs w:val="24"/>
          <w:lang w:eastAsia="uk-UA"/>
        </w:rPr>
        <w:t xml:space="preserve">. Будь-які дії в ситуаціях безпосередньої небезпеки повинні </w:t>
      </w:r>
      <w:r w:rsidRPr="00EE695B">
        <w:rPr>
          <w:rFonts w:ascii="Times New Roman" w:eastAsia="Times New Roman" w:hAnsi="Times New Roman" w:cs="Times New Roman"/>
          <w:sz w:val="24"/>
          <w:szCs w:val="24"/>
          <w:lang w:eastAsia="uk-UA"/>
        </w:rPr>
        <w:lastRenderedPageBreak/>
        <w:t>відповідати законодавству, професійним стандартам і принципу найменшого необхідного обмеження.</w:t>
      </w:r>
    </w:p>
    <w:p w14:paraId="113323B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позитивна поведінкова підтримка є важливим напрямом сучасного психолого-педагогічного втручання, який поєднує функціональне розуміння поведінки, розвиток комунікації, адаптацію середовища та забезпечення добробуту особи з РАС.</w:t>
      </w:r>
    </w:p>
    <w:p w14:paraId="71EE4F5D"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9. Індивідуалізація психолого-педагогічного втручання та оцінювання його результативності</w:t>
      </w:r>
    </w:p>
    <w:p w14:paraId="5E6796D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Індивідуалізація є визначальною умовою ефективної психолого-педагогічної підтримки осіб з РАС. Вона передбачає добір цілей, методів, засобів, форм організації та інтенсивності втручання відповідно до індивідуального профілю розвитку, потреб, інтересів і життєвих обставин конкретної особи.</w:t>
      </w:r>
    </w:p>
    <w:p w14:paraId="4712EA9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Необхідність індивідуалізації зумовлена значною різноманітністю проявів аутизму. Діти з однаковим діагнозом можуть відрізнятися рівнем розвитку мовлення, способами комунікації, когнітивними можливостями, сенсорними особливостями, адаптивними навичками та потребами в підтримці.</w:t>
      </w:r>
    </w:p>
    <w:p w14:paraId="3BBF2C1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жоден метод або програма не можуть розглядатися як універсальні для всіх осіб з РАС.</w:t>
      </w:r>
    </w:p>
    <w:p w14:paraId="300BBB96"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Комплексне оцінювання як основа індивідуалізації</w:t>
      </w:r>
    </w:p>
    <w:p w14:paraId="4D2830A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Початковим етапом планування втручання є комплексне оцінювання розвитку та функціонування дитини.</w:t>
      </w:r>
    </w:p>
    <w:p w14:paraId="19E025C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Його метою є визначення сильних сторін, актуальних навичок, основних труднощів, доступних способів комунікації, індивідуальних інтересів і чинників середовища, які сприяють або перешкоджають навчанню.</w:t>
      </w:r>
    </w:p>
    <w:p w14:paraId="47152CD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Особливу увагу необхідно приділяти функціональному значенню виявлених труднощів.</w:t>
      </w:r>
    </w:p>
    <w:p w14:paraId="1265F1C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обмежений словниковий запас може мати різні наслідки залежно від того, чи використовує дитина жести, графічні символи або інші доступні засоби комунікації.</w:t>
      </w:r>
    </w:p>
    <w:p w14:paraId="6BF8FF3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Якщо дитина не володіє усним мовленням, але ефективно користується АДК, її комунікативні можливості можуть бути значно ширшими, ніж у дитини з формально розвиненим словником, яка не здатна самостійно повідомляти про власні потреби.</w:t>
      </w:r>
    </w:p>
    <w:p w14:paraId="4A63A2F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Тому результати оцінювання повинні відображати не лише кількісні показники сформованості навичок, а й можливість їх практичного використання.</w:t>
      </w:r>
    </w:p>
    <w:p w14:paraId="6B70C529"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Визначення пріоритетних цілей втручання</w:t>
      </w:r>
    </w:p>
    <w:p w14:paraId="60489C6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Після комплексного оцінювання необхідно визначити пріоритетні напрями підтримки.</w:t>
      </w:r>
    </w:p>
    <w:p w14:paraId="5CA4BB1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До них можуть належати розвиток функціональної комунікації, формування навичок самообслуговування, підвищення самостійності, розвиток соціальної взаємодії, підтримка емоційної регуляції та забезпечення доступності освітнього процесу.</w:t>
      </w:r>
    </w:p>
    <w:p w14:paraId="36AB1B0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щоб цілі втручання відповідали реальним потребам дитини та її родини.</w:t>
      </w:r>
    </w:p>
    <w:p w14:paraId="5D37DC8A"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дитина не може повідомити про біль або потребу в допомозі, формування відповідної комунікативної навички повинно мати вищий пріоритет, ніж засвоєння великої кількості назв предметів, які не використовуються в повсякденному спілкуванні.</w:t>
      </w:r>
    </w:p>
    <w:p w14:paraId="4314788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Цілі доцільно формулювати відповідно до принципу SMART, який передбачає їхню конкретність, </w:t>
      </w:r>
      <w:proofErr w:type="spellStart"/>
      <w:r w:rsidRPr="00EE695B">
        <w:rPr>
          <w:rFonts w:ascii="Times New Roman" w:eastAsia="Times New Roman" w:hAnsi="Times New Roman" w:cs="Times New Roman"/>
          <w:sz w:val="24"/>
          <w:szCs w:val="24"/>
          <w:lang w:eastAsia="uk-UA"/>
        </w:rPr>
        <w:t>вимірюваність</w:t>
      </w:r>
      <w:proofErr w:type="spellEnd"/>
      <w:r w:rsidRPr="00EE695B">
        <w:rPr>
          <w:rFonts w:ascii="Times New Roman" w:eastAsia="Times New Roman" w:hAnsi="Times New Roman" w:cs="Times New Roman"/>
          <w:sz w:val="24"/>
          <w:szCs w:val="24"/>
          <w:lang w:eastAsia="uk-UA"/>
        </w:rPr>
        <w:t>, досяжність, актуальність і часову визначеність.</w:t>
      </w:r>
    </w:p>
    <w:p w14:paraId="0361413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загальна мета «розвивати мовленнєву комунікацію» не дозволяє достатньо чітко оцінити результативність роботи.</w:t>
      </w:r>
    </w:p>
    <w:p w14:paraId="4510ABB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Більш конкретною буде така ціль: протягом десяти тижнів дитина самостійно використовуватиме доступне слово, жест або графічний символ для звернення по допомогу щонайменше у чотирьох із п'яти відповідних природних ситуацій протягом трьох послідовних днів спостереження.</w:t>
      </w:r>
    </w:p>
    <w:p w14:paraId="2B9823D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Таке формулювання визначає навичку, умови її використання, допустимі комунікативні засоби та критерії досягнення результату.</w:t>
      </w:r>
    </w:p>
    <w:p w14:paraId="06A37D7F"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Добір методів і технологій втручання</w:t>
      </w:r>
    </w:p>
    <w:p w14:paraId="49121FD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Після визначення цілей здійснюється добір методів відповідно до характеру навичок і можливостей дитини.</w:t>
      </w:r>
    </w:p>
    <w:p w14:paraId="575B74F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Наприклад, для формування окремих навичок розрізнення або послідовного виконання дій можуть застосовуватися структуровані поведінкові процедури.</w:t>
      </w:r>
    </w:p>
    <w:p w14:paraId="6AA3BC2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Для розвитку спонтанної комунікації, спільної уваги та соціальної взаємності доцільними можуть бути природні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-поведінкові втручання.</w:t>
      </w:r>
    </w:p>
    <w:p w14:paraId="26758DB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підтримки організації діяльності можуть використовуватися візуальні розклади та структуровані робочі системи.</w:t>
      </w:r>
    </w:p>
    <w:p w14:paraId="06C9864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За наявності поведінкових труднощів важливого значення набувають функціональне оцінювання поведінки, адаптація середовища та формування альтернативних комунікативних навичок.</w:t>
      </w:r>
    </w:p>
    <w:p w14:paraId="7C306C5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Водночас добір методів не повинен здійснюватися виключно на підставі їхньої популярності або належності до певної теоретичної школи.</w:t>
      </w:r>
    </w:p>
    <w:p w14:paraId="68B921B1"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Необхідно враховувати наукові докази щодо конкретної мети, індивідуальні особливості дитини, професійну підготовку фахівця, доступність ресурсів та можливі ризики.</w:t>
      </w:r>
    </w:p>
    <w:p w14:paraId="214E6649"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Інтенсивність і тривалість втручання</w:t>
      </w:r>
    </w:p>
    <w:p w14:paraId="57B6AFF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Важливим аспектом індивідуалізації є визначення інтенсивності та тривалості підтримки.</w:t>
      </w:r>
    </w:p>
    <w:p w14:paraId="1689B8C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практиці раннього втручання застосовуються програми різної інтенсивності — від консультаційного супроводу родини до систематичних індивідуальних і групових занять.</w:t>
      </w:r>
    </w:p>
    <w:p w14:paraId="3C83660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Однак кількість годин сама по собі не є достатнім показником якості або результативності втручання.</w:t>
      </w:r>
    </w:p>
    <w:p w14:paraId="17EE781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Висока інтенсивність занять не гарантує позитивних результатів, якщо методи не відповідають потребам дитини, спричиняють перевтому або не забезпечують перенесення навичок у повсякденне життя.</w:t>
      </w:r>
    </w:p>
    <w:p w14:paraId="328281E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Під час планування навантаження необхідно враховувати вік, стан здоров'я, сенсорні особливості, витривалість, можливості відпочинку, інтереси та право дитини на вільну гру.</w:t>
      </w:r>
    </w:p>
    <w:p w14:paraId="53BEF39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Особливого значення набуває баланс між спеціально організованими заняттями та природними можливостями навчання в повсякденних ситуаціях.</w:t>
      </w:r>
    </w:p>
    <w:p w14:paraId="5F9455FA"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Оцінювання результативності втручання</w:t>
      </w:r>
    </w:p>
    <w:p w14:paraId="58B33B66"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Оцінювання результативності є обов'язковою складовою сучасної доказово обґрунтованої практики.</w:t>
      </w:r>
    </w:p>
    <w:p w14:paraId="6EFAA14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Його основне завдання полягає у визначенні того, чи забезпечує обране втручання очікувані позитивні зміни та чи мають вони функціональне значення для дитини.</w:t>
      </w:r>
    </w:p>
    <w:p w14:paraId="2009155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Перед початком роботи необхідно зафіксувати вихідний рівень сформованості відповідної навички.</w:t>
      </w:r>
    </w:p>
    <w:p w14:paraId="1784F65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метою є розвиток самостійного звернення по допомогу, фахівець визначає, як часто дитина використовує відповідні комунікативні засоби до початку втручання.</w:t>
      </w:r>
    </w:p>
    <w:p w14:paraId="62EB1682"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Надалі результати систематично реєструються протягом визначеного періоду.</w:t>
      </w:r>
    </w:p>
    <w:p w14:paraId="6FCB6E30"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оцінювання можуть використовуватися частота поведінкових або комунікативних проявів, тривалість діяльності, відсоток самостійно виконаних завдань, кількість необхідних підказок та інші показники.</w:t>
      </w:r>
    </w:p>
    <w:p w14:paraId="6A4F160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під час формування навички самостійного прохання можна фіксувати кількість ситуацій, у яких дитина звернулася до дорослого без додаткової підказки.</w:t>
      </w:r>
    </w:p>
    <w:p w14:paraId="770D0EA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Однак кількісні показники необхідно доповнювати якісним аналізом. Важливо визначати, чи використовує дитина навичку в нових умовах, чи ініціює її самостійно, чи зменшується потреба в допомозі та чи покращується її повсякденне функціонування.</w:t>
      </w:r>
    </w:p>
    <w:p w14:paraId="4AF78C55"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Генералізація сформованих навичок</w:t>
      </w:r>
    </w:p>
    <w:p w14:paraId="15CF824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Одним із найважливіших показників результативності втручання є генералізація — перенесення сформованої навички в нові ситуації, з іншими людьми та за використання різних матеріалів.</w:t>
      </w:r>
    </w:p>
    <w:p w14:paraId="54C6B39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дитина може навчитися просити допомогу під час індивідуального логопедичного заняття, але не використовувати відповідний спосіб комунікації вдома або в групі закладу дошкільної освіти.</w:t>
      </w:r>
    </w:p>
    <w:p w14:paraId="65E5809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такому випадку навичка ще не стала повністю функціональною.</w:t>
      </w:r>
    </w:p>
    <w:p w14:paraId="3083635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lastRenderedPageBreak/>
        <w:t>Для забезпечення генералізації необхідно організовувати навчання в різних природних ситуаціях, залучати батьків і педагогів, використовувати різноманітні матеріали та поступово зменшувати кількість підказок.</w:t>
      </w:r>
    </w:p>
    <w:p w14:paraId="3B87FBA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Особливе значення має забезпечення доступності комунікативних засобів у всіх середовищах, де перебуває дитина.</w:t>
      </w:r>
    </w:p>
    <w:p w14:paraId="6ACEA5E3"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Оцінювання соціальної значущості результатів</w:t>
      </w:r>
    </w:p>
    <w:p w14:paraId="14BEDC5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Важливим компонентом сучасного оцінювання є соціальна валідність втручання.</w:t>
      </w:r>
    </w:p>
    <w:p w14:paraId="7917DE9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Соціальна валідність передбачає визначення того, наскільки цілі, процедури та результати підтримки є значущими, прийнятними й корисними для самої особи та її найближчого оточення.</w:t>
      </w:r>
    </w:p>
    <w:p w14:paraId="23C2BFF7"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збільшення тривалості перебування дитини за робочим столом не завжди є соціально значущим результатом. Натомість формування здатності самостійно обирати діяльність, повідомляти про потребу в перерві та завершувати посильне завдання може мати безпосередній позитивний вплив на її повсякденне життя.</w:t>
      </w:r>
    </w:p>
    <w:p w14:paraId="014B254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Оцінювання соціальної валідності повинно враховувати позицію батьків, педагогів і, наскільки можливо, самої дитини.</w:t>
      </w:r>
    </w:p>
    <w:p w14:paraId="3AE2A1C9"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Для осіб, які не користуються усним мовленням, важливо забезпечити доступні способи вираження переваг, згоди, незгоди та ставлення до запропонованих видів діяльності.</w:t>
      </w:r>
    </w:p>
    <w:p w14:paraId="2365794F"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Міждисциплінарна взаємодія в процесі реалізації втручання</w:t>
      </w:r>
    </w:p>
    <w:p w14:paraId="06EB901D"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Результативність психолого-педагогічної підтримки значною мірою залежить від узгодженості дій фахівців.</w:t>
      </w:r>
    </w:p>
    <w:p w14:paraId="160455C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Вчитель-логопед, психолог, спеціальний педагог, вихователь, асистент вихователя та інші учасники команди повинні мати спільне розуміння пріоритетних цілей, доступних комунікативних засобів і способів підтримки дитини.</w:t>
      </w:r>
    </w:p>
    <w:p w14:paraId="3F5C1B7F"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Наприклад, якщо логопед формує використання графічного символу «Допоможи», інші дорослі повинні розуміти його значення та забезпечувати можливість використання в повсякденних ситуаціях.</w:t>
      </w:r>
    </w:p>
    <w:p w14:paraId="4B97AD4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За відсутності такої узгодженості навичка може залишитися обмеженою умовами окремого заняття.</w:t>
      </w:r>
    </w:p>
    <w:p w14:paraId="14E05ED5"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Важливо також регулярно обговорювати результати роботи, визначати причини можливих труднощів і своєчасно коригувати індивідуальну програму.</w:t>
      </w:r>
    </w:p>
    <w:p w14:paraId="7EA2CE84"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індивідуалізація та оцінювання результативності є взаємопов'язаними процесами. Індивідуальний добір методів визначає зміст втручання, а систематичне оцінювання дозволяє встановити його ефективність і своєчасно змінювати педагогічні стратегії.</w:t>
      </w:r>
    </w:p>
    <w:p w14:paraId="46D9A68C"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Висновки</w:t>
      </w:r>
    </w:p>
    <w:p w14:paraId="26D727C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Сучасні методи та технології психолого-педагогічного втручання при розладах аутистичного спектра характеризуються різноманітністю теоретичних підходів, організаційних форм і практичних засобів підтримки. Їх об'єднує орієнтація на розвиток функціональних навичок, забезпечення доступної комунікації, підвищення самостійності та покращення якості життя осіб з РАС.</w:t>
      </w:r>
    </w:p>
    <w:p w14:paraId="271E75E8"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Доказово обґрунтована практика передбачає поєднання результатів наукових досліджень, професійної компетентності фахівців, індивідуальних характеристик дитини та цінностей її родини. Водночас наукова обґрунтованість окремого методу не означає його універсальної ефективності для всіх дітей і всіх сфер розвитку.</w:t>
      </w:r>
    </w:p>
    <w:p w14:paraId="569E12F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Поведінкові підходи, зокрема прикладний аналіз поведінки, надають можливості для систематичного формування функціональних навичок, аналізу поведінки та організації навчання. Проте їх використання потребує дотримання етичних принципів, поваги до індивідуальності дитини, врахування її потреб і недопущення примусових або потенційно шкідливих процедур.</w:t>
      </w:r>
    </w:p>
    <w:p w14:paraId="094B0EE3"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Розвивальні та природні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-поведінкові втручання спрямовані на формування комунікації, спільної уваги, соціальної взаємності та ігрових навичок у природних і значущих для дитини ситуаціях. Особливе значення мають підтримка комунікативних ініціатив, використання індивідуальних інтересів і залучення родини до процесу навчання.</w:t>
      </w:r>
    </w:p>
    <w:p w14:paraId="1F86DCEE"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Структуроване навчання та візуальна підтримка забезпечують передбачуваність освітнього середовища, доступність інформації, організацію діяльності й розвиток самостійності. </w:t>
      </w:r>
      <w:r w:rsidRPr="00EE695B">
        <w:rPr>
          <w:rFonts w:ascii="Times New Roman" w:eastAsia="Times New Roman" w:hAnsi="Times New Roman" w:cs="Times New Roman"/>
          <w:sz w:val="24"/>
          <w:szCs w:val="24"/>
          <w:lang w:eastAsia="uk-UA"/>
        </w:rPr>
        <w:lastRenderedPageBreak/>
        <w:t>Їх застосування повинно бути індивідуалізованим і не обмежувати можливості вибору, спонтанної взаємодії та соціальної участі.</w:t>
      </w:r>
    </w:p>
    <w:p w14:paraId="13D64E5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Позитивна поведінкова підтримка ґрунтується на функціональному розумінні поведінки, профілактиці труднощів, розвитку доступної комунікації та адаптації середовища. Її метою є не формальне усунення небажаних проявів, а забезпечення добробуту, безпеки та можливостей повноцінної участі особи в повсякденному житті.</w:t>
      </w:r>
    </w:p>
    <w:p w14:paraId="1F88E63B"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Для професійної діяльності вчителя-логопеда особливого значення набуває інтеграція різних методів втручання з метою розвитку функціональної комунікації, </w:t>
      </w:r>
      <w:proofErr w:type="spellStart"/>
      <w:r w:rsidRPr="00EE695B">
        <w:rPr>
          <w:rFonts w:ascii="Times New Roman" w:eastAsia="Times New Roman" w:hAnsi="Times New Roman" w:cs="Times New Roman"/>
          <w:sz w:val="24"/>
          <w:szCs w:val="24"/>
          <w:lang w:eastAsia="uk-UA"/>
        </w:rPr>
        <w:t>імпресивного</w:t>
      </w:r>
      <w:proofErr w:type="spellEnd"/>
      <w:r w:rsidRPr="00EE695B">
        <w:rPr>
          <w:rFonts w:ascii="Times New Roman" w:eastAsia="Times New Roman" w:hAnsi="Times New Roman" w:cs="Times New Roman"/>
          <w:sz w:val="24"/>
          <w:szCs w:val="24"/>
          <w:lang w:eastAsia="uk-UA"/>
        </w:rPr>
        <w:t xml:space="preserve"> й експресивного мовлення, прагматичних навичок та використання засобів альтернативної і додаткової комунікації.</w:t>
      </w:r>
    </w:p>
    <w:p w14:paraId="61F531DC" w14:textId="77777777" w:rsidR="00EE695B" w:rsidRPr="00EE695B" w:rsidRDefault="00EE695B" w:rsidP="00EE695B">
      <w:p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Отже, результативність сучасного психолого-педагогічного втручання при РАС визначається не кількістю застосованих методик або інтенсивністю занять, а ступенем відповідності підтримки індивідуальним потребам дитини, науковою обґрунтованістю обраних підходів, етичною прийнятністю процедур і реальними позитивними змінами в її повсякденному функціонуванні.</w:t>
      </w:r>
    </w:p>
    <w:p w14:paraId="1686A941"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Питання для самоконтролю</w:t>
      </w:r>
    </w:p>
    <w:p w14:paraId="4717DE68"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чому полягає сутність сучасного психолого-педагогічного втручання при РАС та які його основні цілі?</w:t>
      </w:r>
    </w:p>
    <w:p w14:paraId="79BC13AB"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Які критерії дозволяють визначити психолого-педагогічний метод як доказово обґрунтований?</w:t>
      </w:r>
    </w:p>
    <w:p w14:paraId="3F4B89CC"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чому полягають теоретичні основи прикладного аналізу поведінки?</w:t>
      </w:r>
    </w:p>
    <w:p w14:paraId="4FF2288E"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Які можливості та обмеження має застосування ABA у роботі з дітьми з РАС?</w:t>
      </w:r>
    </w:p>
    <w:p w14:paraId="180ABA70"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Яких етичних принципів необхідно дотримуватися під час поведінкового втручання?</w:t>
      </w:r>
    </w:p>
    <w:p w14:paraId="6E9F0EE9"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Які особливості характеризують розвивальні підходи до підтримки дітей з РАС?</w:t>
      </w:r>
    </w:p>
    <w:p w14:paraId="670BF1A2"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 xml:space="preserve">У чому полягає специфіка природних </w:t>
      </w:r>
      <w:proofErr w:type="spellStart"/>
      <w:r w:rsidRPr="00EE695B">
        <w:rPr>
          <w:rFonts w:ascii="Times New Roman" w:eastAsia="Times New Roman" w:hAnsi="Times New Roman" w:cs="Times New Roman"/>
          <w:sz w:val="24"/>
          <w:szCs w:val="24"/>
          <w:lang w:eastAsia="uk-UA"/>
        </w:rPr>
        <w:t>розвивально</w:t>
      </w:r>
      <w:proofErr w:type="spellEnd"/>
      <w:r w:rsidRPr="00EE695B">
        <w:rPr>
          <w:rFonts w:ascii="Times New Roman" w:eastAsia="Times New Roman" w:hAnsi="Times New Roman" w:cs="Times New Roman"/>
          <w:sz w:val="24"/>
          <w:szCs w:val="24"/>
          <w:lang w:eastAsia="uk-UA"/>
        </w:rPr>
        <w:t xml:space="preserve">-поведінкових </w:t>
      </w:r>
      <w:proofErr w:type="spellStart"/>
      <w:r w:rsidRPr="00EE695B">
        <w:rPr>
          <w:rFonts w:ascii="Times New Roman" w:eastAsia="Times New Roman" w:hAnsi="Times New Roman" w:cs="Times New Roman"/>
          <w:sz w:val="24"/>
          <w:szCs w:val="24"/>
          <w:lang w:eastAsia="uk-UA"/>
        </w:rPr>
        <w:t>втручань</w:t>
      </w:r>
      <w:proofErr w:type="spellEnd"/>
      <w:r w:rsidRPr="00EE695B">
        <w:rPr>
          <w:rFonts w:ascii="Times New Roman" w:eastAsia="Times New Roman" w:hAnsi="Times New Roman" w:cs="Times New Roman"/>
          <w:sz w:val="24"/>
          <w:szCs w:val="24"/>
          <w:lang w:eastAsia="uk-UA"/>
        </w:rPr>
        <w:t xml:space="preserve"> (NDBI)?</w:t>
      </w:r>
    </w:p>
    <w:p w14:paraId="5041D0C2"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Які можливості для розвитку комунікативно-мовленнєвих навичок забезпечують ESDM, PRT та JASPER?</w:t>
      </w:r>
    </w:p>
    <w:p w14:paraId="07F27474"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Які основні компоненти структурованого навчання TEACCH?</w:t>
      </w:r>
    </w:p>
    <w:p w14:paraId="7B6A2EAC"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 візуальна підтримка сприяє розвитку самостійності та комунікації дітей з РАС?</w:t>
      </w:r>
    </w:p>
    <w:p w14:paraId="338D86F4"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У чому полягає сутність позитивної поведінкової підтримки та функціонального комунікативного навчання?</w:t>
      </w:r>
    </w:p>
    <w:p w14:paraId="577F0BE4" w14:textId="77777777" w:rsidR="00EE695B" w:rsidRPr="00EE695B" w:rsidRDefault="00EE695B" w:rsidP="00EE695B">
      <w:pPr>
        <w:numPr>
          <w:ilvl w:val="0"/>
          <w:numId w:val="2"/>
        </w:numPr>
        <w:spacing w:after="0" w:line="240" w:lineRule="auto"/>
        <w:ind w:firstLine="709"/>
        <w:jc w:val="both"/>
        <w:rPr>
          <w:rFonts w:ascii="Times New Roman" w:eastAsia="Times New Roman" w:hAnsi="Times New Roman" w:cs="Times New Roman"/>
          <w:sz w:val="24"/>
          <w:szCs w:val="24"/>
          <w:lang w:eastAsia="uk-UA"/>
        </w:rPr>
      </w:pPr>
      <w:r w:rsidRPr="00EE695B">
        <w:rPr>
          <w:rFonts w:ascii="Times New Roman" w:eastAsia="Times New Roman" w:hAnsi="Times New Roman" w:cs="Times New Roman"/>
          <w:sz w:val="24"/>
          <w:szCs w:val="24"/>
          <w:lang w:eastAsia="uk-UA"/>
        </w:rPr>
        <w:t>Які показники необхідно враховувати під час оцінювання результативності індивідуального психолого-педагогічного втручання?</w:t>
      </w:r>
    </w:p>
    <w:p w14:paraId="3FF80E15" w14:textId="77777777" w:rsidR="00EE695B" w:rsidRPr="00EE695B" w:rsidRDefault="00EE695B" w:rsidP="00EE695B">
      <w:pPr>
        <w:spacing w:after="0" w:line="240" w:lineRule="auto"/>
        <w:ind w:firstLine="709"/>
        <w:jc w:val="both"/>
        <w:rPr>
          <w:rFonts w:ascii="Times New Roman" w:eastAsia="Times New Roman" w:hAnsi="Times New Roman" w:cs="Times New Roman"/>
          <w:b/>
          <w:bCs/>
          <w:sz w:val="24"/>
          <w:szCs w:val="24"/>
          <w:lang w:eastAsia="uk-UA"/>
        </w:rPr>
      </w:pPr>
      <w:r w:rsidRPr="00EE695B">
        <w:rPr>
          <w:rFonts w:ascii="Times New Roman" w:eastAsia="Times New Roman" w:hAnsi="Times New Roman" w:cs="Times New Roman"/>
          <w:b/>
          <w:bCs/>
          <w:sz w:val="24"/>
          <w:szCs w:val="24"/>
          <w:lang w:eastAsia="uk-UA"/>
        </w:rPr>
        <w:t>Рекомендована література</w:t>
      </w:r>
    </w:p>
    <w:p w14:paraId="2A4116D1"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Steinbrenner</w:t>
      </w:r>
      <w:proofErr w:type="spellEnd"/>
      <w:r w:rsidRPr="00EE695B">
        <w:rPr>
          <w:rFonts w:ascii="Times New Roman" w:eastAsia="Times New Roman" w:hAnsi="Times New Roman" w:cs="Times New Roman"/>
          <w:sz w:val="24"/>
          <w:szCs w:val="24"/>
          <w:lang w:eastAsia="uk-UA"/>
        </w:rPr>
        <w:t xml:space="preserve"> J. R., </w:t>
      </w:r>
      <w:proofErr w:type="spellStart"/>
      <w:r w:rsidRPr="00EE695B">
        <w:rPr>
          <w:rFonts w:ascii="Times New Roman" w:eastAsia="Times New Roman" w:hAnsi="Times New Roman" w:cs="Times New Roman"/>
          <w:sz w:val="24"/>
          <w:szCs w:val="24"/>
          <w:lang w:eastAsia="uk-UA"/>
        </w:rPr>
        <w:t>Hume</w:t>
      </w:r>
      <w:proofErr w:type="spellEnd"/>
      <w:r w:rsidRPr="00EE695B">
        <w:rPr>
          <w:rFonts w:ascii="Times New Roman" w:eastAsia="Times New Roman" w:hAnsi="Times New Roman" w:cs="Times New Roman"/>
          <w:sz w:val="24"/>
          <w:szCs w:val="24"/>
          <w:lang w:eastAsia="uk-UA"/>
        </w:rPr>
        <w:t xml:space="preserve"> K., </w:t>
      </w:r>
      <w:proofErr w:type="spellStart"/>
      <w:r w:rsidRPr="00EE695B">
        <w:rPr>
          <w:rFonts w:ascii="Times New Roman" w:eastAsia="Times New Roman" w:hAnsi="Times New Roman" w:cs="Times New Roman"/>
          <w:sz w:val="24"/>
          <w:szCs w:val="24"/>
          <w:lang w:eastAsia="uk-UA"/>
        </w:rPr>
        <w:t>Odom</w:t>
      </w:r>
      <w:proofErr w:type="spellEnd"/>
      <w:r w:rsidRPr="00EE695B">
        <w:rPr>
          <w:rFonts w:ascii="Times New Roman" w:eastAsia="Times New Roman" w:hAnsi="Times New Roman" w:cs="Times New Roman"/>
          <w:sz w:val="24"/>
          <w:szCs w:val="24"/>
          <w:lang w:eastAsia="uk-UA"/>
        </w:rPr>
        <w:t xml:space="preserve"> S. L., </w:t>
      </w:r>
      <w:proofErr w:type="spellStart"/>
      <w:r w:rsidRPr="00EE695B">
        <w:rPr>
          <w:rFonts w:ascii="Times New Roman" w:eastAsia="Times New Roman" w:hAnsi="Times New Roman" w:cs="Times New Roman"/>
          <w:sz w:val="24"/>
          <w:szCs w:val="24"/>
          <w:lang w:eastAsia="uk-UA"/>
        </w:rPr>
        <w:t>Morin</w:t>
      </w:r>
      <w:proofErr w:type="spellEnd"/>
      <w:r w:rsidRPr="00EE695B">
        <w:rPr>
          <w:rFonts w:ascii="Times New Roman" w:eastAsia="Times New Roman" w:hAnsi="Times New Roman" w:cs="Times New Roman"/>
          <w:sz w:val="24"/>
          <w:szCs w:val="24"/>
          <w:lang w:eastAsia="uk-UA"/>
        </w:rPr>
        <w:t xml:space="preserve"> K. L., </w:t>
      </w:r>
      <w:proofErr w:type="spellStart"/>
      <w:r w:rsidRPr="00EE695B">
        <w:rPr>
          <w:rFonts w:ascii="Times New Roman" w:eastAsia="Times New Roman" w:hAnsi="Times New Roman" w:cs="Times New Roman"/>
          <w:sz w:val="24"/>
          <w:szCs w:val="24"/>
          <w:lang w:eastAsia="uk-UA"/>
        </w:rPr>
        <w:t>Nowell</w:t>
      </w:r>
      <w:proofErr w:type="spellEnd"/>
      <w:r w:rsidRPr="00EE695B">
        <w:rPr>
          <w:rFonts w:ascii="Times New Roman" w:eastAsia="Times New Roman" w:hAnsi="Times New Roman" w:cs="Times New Roman"/>
          <w:sz w:val="24"/>
          <w:szCs w:val="24"/>
          <w:lang w:eastAsia="uk-UA"/>
        </w:rPr>
        <w:t xml:space="preserve"> S. W., </w:t>
      </w:r>
      <w:proofErr w:type="spellStart"/>
      <w:r w:rsidRPr="00EE695B">
        <w:rPr>
          <w:rFonts w:ascii="Times New Roman" w:eastAsia="Times New Roman" w:hAnsi="Times New Roman" w:cs="Times New Roman"/>
          <w:sz w:val="24"/>
          <w:szCs w:val="24"/>
          <w:lang w:eastAsia="uk-UA"/>
        </w:rPr>
        <w:t>Tomaszewski</w:t>
      </w:r>
      <w:proofErr w:type="spellEnd"/>
      <w:r w:rsidRPr="00EE695B">
        <w:rPr>
          <w:rFonts w:ascii="Times New Roman" w:eastAsia="Times New Roman" w:hAnsi="Times New Roman" w:cs="Times New Roman"/>
          <w:sz w:val="24"/>
          <w:szCs w:val="24"/>
          <w:lang w:eastAsia="uk-UA"/>
        </w:rPr>
        <w:t xml:space="preserve"> B., </w:t>
      </w:r>
      <w:proofErr w:type="spellStart"/>
      <w:r w:rsidRPr="00EE695B">
        <w:rPr>
          <w:rFonts w:ascii="Times New Roman" w:eastAsia="Times New Roman" w:hAnsi="Times New Roman" w:cs="Times New Roman"/>
          <w:sz w:val="24"/>
          <w:szCs w:val="24"/>
          <w:lang w:eastAsia="uk-UA"/>
        </w:rPr>
        <w:t>Szendrey</w:t>
      </w:r>
      <w:proofErr w:type="spellEnd"/>
      <w:r w:rsidRPr="00EE695B">
        <w:rPr>
          <w:rFonts w:ascii="Times New Roman" w:eastAsia="Times New Roman" w:hAnsi="Times New Roman" w:cs="Times New Roman"/>
          <w:sz w:val="24"/>
          <w:szCs w:val="24"/>
          <w:lang w:eastAsia="uk-UA"/>
        </w:rPr>
        <w:t xml:space="preserve"> S., </w:t>
      </w:r>
      <w:proofErr w:type="spellStart"/>
      <w:r w:rsidRPr="00EE695B">
        <w:rPr>
          <w:rFonts w:ascii="Times New Roman" w:eastAsia="Times New Roman" w:hAnsi="Times New Roman" w:cs="Times New Roman"/>
          <w:sz w:val="24"/>
          <w:szCs w:val="24"/>
          <w:lang w:eastAsia="uk-UA"/>
        </w:rPr>
        <w:t>McIntyre</w:t>
      </w:r>
      <w:proofErr w:type="spellEnd"/>
      <w:r w:rsidRPr="00EE695B">
        <w:rPr>
          <w:rFonts w:ascii="Times New Roman" w:eastAsia="Times New Roman" w:hAnsi="Times New Roman" w:cs="Times New Roman"/>
          <w:sz w:val="24"/>
          <w:szCs w:val="24"/>
          <w:lang w:eastAsia="uk-UA"/>
        </w:rPr>
        <w:t xml:space="preserve"> N. S., </w:t>
      </w:r>
      <w:proofErr w:type="spellStart"/>
      <w:r w:rsidRPr="00EE695B">
        <w:rPr>
          <w:rFonts w:ascii="Times New Roman" w:eastAsia="Times New Roman" w:hAnsi="Times New Roman" w:cs="Times New Roman"/>
          <w:sz w:val="24"/>
          <w:szCs w:val="24"/>
          <w:lang w:eastAsia="uk-UA"/>
        </w:rPr>
        <w:t>Yücesoy-Özkan</w:t>
      </w:r>
      <w:proofErr w:type="spellEnd"/>
      <w:r w:rsidRPr="00EE695B">
        <w:rPr>
          <w:rFonts w:ascii="Times New Roman" w:eastAsia="Times New Roman" w:hAnsi="Times New Roman" w:cs="Times New Roman"/>
          <w:sz w:val="24"/>
          <w:szCs w:val="24"/>
          <w:lang w:eastAsia="uk-UA"/>
        </w:rPr>
        <w:t xml:space="preserve"> Ş., </w:t>
      </w:r>
      <w:proofErr w:type="spellStart"/>
      <w:r w:rsidRPr="00EE695B">
        <w:rPr>
          <w:rFonts w:ascii="Times New Roman" w:eastAsia="Times New Roman" w:hAnsi="Times New Roman" w:cs="Times New Roman"/>
          <w:sz w:val="24"/>
          <w:szCs w:val="24"/>
          <w:lang w:eastAsia="uk-UA"/>
        </w:rPr>
        <w:t>Savage</w:t>
      </w:r>
      <w:proofErr w:type="spellEnd"/>
      <w:r w:rsidRPr="00EE695B">
        <w:rPr>
          <w:rFonts w:ascii="Times New Roman" w:eastAsia="Times New Roman" w:hAnsi="Times New Roman" w:cs="Times New Roman"/>
          <w:sz w:val="24"/>
          <w:szCs w:val="24"/>
          <w:lang w:eastAsia="uk-UA"/>
        </w:rPr>
        <w:t xml:space="preserve"> M. N. </w:t>
      </w:r>
      <w:proofErr w:type="spellStart"/>
      <w:r w:rsidRPr="00EE695B">
        <w:rPr>
          <w:rFonts w:ascii="Times New Roman" w:eastAsia="Times New Roman" w:hAnsi="Times New Roman" w:cs="Times New Roman"/>
          <w:sz w:val="24"/>
          <w:szCs w:val="24"/>
          <w:lang w:eastAsia="uk-UA"/>
        </w:rPr>
        <w:t>Evidence-Based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Practices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Children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Youth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Young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Adults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with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Chapel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Hill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The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University</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of</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North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Carolina</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Frank</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Porter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Graham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Development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Institute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National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Clearinghouse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Evidence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Practice</w:t>
      </w:r>
      <w:proofErr w:type="spellEnd"/>
      <w:r w:rsidRPr="00EE695B">
        <w:rPr>
          <w:rFonts w:ascii="Times New Roman" w:eastAsia="Times New Roman" w:hAnsi="Times New Roman" w:cs="Times New Roman"/>
          <w:sz w:val="24"/>
          <w:szCs w:val="24"/>
          <w:lang w:eastAsia="uk-UA"/>
        </w:rPr>
        <w:t xml:space="preserve">, 2020. </w:t>
      </w:r>
      <w:hyperlink r:id="rId5" w:history="1">
        <w:r w:rsidRPr="00EE695B">
          <w:rPr>
            <w:rFonts w:ascii="Times New Roman" w:eastAsia="Times New Roman" w:hAnsi="Times New Roman" w:cs="Times New Roman"/>
            <w:color w:val="0000FF"/>
            <w:sz w:val="24"/>
            <w:szCs w:val="24"/>
            <w:u w:val="single"/>
            <w:lang w:eastAsia="uk-UA"/>
          </w:rPr>
          <w:t>Ресурси NCAEP</w:t>
        </w:r>
      </w:hyperlink>
      <w:r w:rsidRPr="00EE695B">
        <w:rPr>
          <w:rFonts w:ascii="Times New Roman" w:eastAsia="Times New Roman" w:hAnsi="Times New Roman" w:cs="Times New Roman"/>
          <w:sz w:val="24"/>
          <w:szCs w:val="24"/>
          <w:lang w:eastAsia="uk-UA"/>
        </w:rPr>
        <w:t>.</w:t>
      </w:r>
    </w:p>
    <w:p w14:paraId="1E152BF1"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Sandbank</w:t>
      </w:r>
      <w:proofErr w:type="spellEnd"/>
      <w:r w:rsidRPr="00EE695B">
        <w:rPr>
          <w:rFonts w:ascii="Times New Roman" w:eastAsia="Times New Roman" w:hAnsi="Times New Roman" w:cs="Times New Roman"/>
          <w:sz w:val="24"/>
          <w:szCs w:val="24"/>
          <w:lang w:eastAsia="uk-UA"/>
        </w:rPr>
        <w:t xml:space="preserve"> M., </w:t>
      </w:r>
      <w:proofErr w:type="spellStart"/>
      <w:r w:rsidRPr="00EE695B">
        <w:rPr>
          <w:rFonts w:ascii="Times New Roman" w:eastAsia="Times New Roman" w:hAnsi="Times New Roman" w:cs="Times New Roman"/>
          <w:sz w:val="24"/>
          <w:szCs w:val="24"/>
          <w:lang w:eastAsia="uk-UA"/>
        </w:rPr>
        <w:t>Bottema-Beutel</w:t>
      </w:r>
      <w:proofErr w:type="spellEnd"/>
      <w:r w:rsidRPr="00EE695B">
        <w:rPr>
          <w:rFonts w:ascii="Times New Roman" w:eastAsia="Times New Roman" w:hAnsi="Times New Roman" w:cs="Times New Roman"/>
          <w:sz w:val="24"/>
          <w:szCs w:val="24"/>
          <w:lang w:eastAsia="uk-UA"/>
        </w:rPr>
        <w:t xml:space="preserve"> K., </w:t>
      </w:r>
      <w:proofErr w:type="spellStart"/>
      <w:r w:rsidRPr="00EE695B">
        <w:rPr>
          <w:rFonts w:ascii="Times New Roman" w:eastAsia="Times New Roman" w:hAnsi="Times New Roman" w:cs="Times New Roman"/>
          <w:sz w:val="24"/>
          <w:szCs w:val="24"/>
          <w:lang w:eastAsia="uk-UA"/>
        </w:rPr>
        <w:t>Crowley</w:t>
      </w:r>
      <w:proofErr w:type="spellEnd"/>
      <w:r w:rsidRPr="00EE695B">
        <w:rPr>
          <w:rFonts w:ascii="Times New Roman" w:eastAsia="Times New Roman" w:hAnsi="Times New Roman" w:cs="Times New Roman"/>
          <w:sz w:val="24"/>
          <w:szCs w:val="24"/>
          <w:lang w:eastAsia="uk-UA"/>
        </w:rPr>
        <w:t xml:space="preserve"> S., </w:t>
      </w:r>
      <w:proofErr w:type="spellStart"/>
      <w:r w:rsidRPr="00EE695B">
        <w:rPr>
          <w:rFonts w:ascii="Times New Roman" w:eastAsia="Times New Roman" w:hAnsi="Times New Roman" w:cs="Times New Roman"/>
          <w:sz w:val="24"/>
          <w:szCs w:val="24"/>
          <w:lang w:eastAsia="uk-UA"/>
        </w:rPr>
        <w:t>Cassidy</w:t>
      </w:r>
      <w:proofErr w:type="spellEnd"/>
      <w:r w:rsidRPr="00EE695B">
        <w:rPr>
          <w:rFonts w:ascii="Times New Roman" w:eastAsia="Times New Roman" w:hAnsi="Times New Roman" w:cs="Times New Roman"/>
          <w:sz w:val="24"/>
          <w:szCs w:val="24"/>
          <w:lang w:eastAsia="uk-UA"/>
        </w:rPr>
        <w:t xml:space="preserve"> M., </w:t>
      </w:r>
      <w:proofErr w:type="spellStart"/>
      <w:r w:rsidRPr="00EE695B">
        <w:rPr>
          <w:rFonts w:ascii="Times New Roman" w:eastAsia="Times New Roman" w:hAnsi="Times New Roman" w:cs="Times New Roman"/>
          <w:sz w:val="24"/>
          <w:szCs w:val="24"/>
          <w:lang w:eastAsia="uk-UA"/>
        </w:rPr>
        <w:t>Dunham</w:t>
      </w:r>
      <w:proofErr w:type="spellEnd"/>
      <w:r w:rsidRPr="00EE695B">
        <w:rPr>
          <w:rFonts w:ascii="Times New Roman" w:eastAsia="Times New Roman" w:hAnsi="Times New Roman" w:cs="Times New Roman"/>
          <w:sz w:val="24"/>
          <w:szCs w:val="24"/>
          <w:lang w:eastAsia="uk-UA"/>
        </w:rPr>
        <w:t xml:space="preserve"> K., </w:t>
      </w:r>
      <w:proofErr w:type="spellStart"/>
      <w:r w:rsidRPr="00EE695B">
        <w:rPr>
          <w:rFonts w:ascii="Times New Roman" w:eastAsia="Times New Roman" w:hAnsi="Times New Roman" w:cs="Times New Roman"/>
          <w:sz w:val="24"/>
          <w:szCs w:val="24"/>
          <w:lang w:eastAsia="uk-UA"/>
        </w:rPr>
        <w:t>Feldman</w:t>
      </w:r>
      <w:proofErr w:type="spellEnd"/>
      <w:r w:rsidRPr="00EE695B">
        <w:rPr>
          <w:rFonts w:ascii="Times New Roman" w:eastAsia="Times New Roman" w:hAnsi="Times New Roman" w:cs="Times New Roman"/>
          <w:sz w:val="24"/>
          <w:szCs w:val="24"/>
          <w:lang w:eastAsia="uk-UA"/>
        </w:rPr>
        <w:t xml:space="preserve"> J. I., </w:t>
      </w:r>
      <w:proofErr w:type="spellStart"/>
      <w:r w:rsidRPr="00EE695B">
        <w:rPr>
          <w:rFonts w:ascii="Times New Roman" w:eastAsia="Times New Roman" w:hAnsi="Times New Roman" w:cs="Times New Roman"/>
          <w:sz w:val="24"/>
          <w:szCs w:val="24"/>
          <w:lang w:eastAsia="uk-UA"/>
        </w:rPr>
        <w:t>Crank</w:t>
      </w:r>
      <w:proofErr w:type="spellEnd"/>
      <w:r w:rsidRPr="00EE695B">
        <w:rPr>
          <w:rFonts w:ascii="Times New Roman" w:eastAsia="Times New Roman" w:hAnsi="Times New Roman" w:cs="Times New Roman"/>
          <w:sz w:val="24"/>
          <w:szCs w:val="24"/>
          <w:lang w:eastAsia="uk-UA"/>
        </w:rPr>
        <w:t xml:space="preserve"> J., </w:t>
      </w:r>
      <w:proofErr w:type="spellStart"/>
      <w:r w:rsidRPr="00EE695B">
        <w:rPr>
          <w:rFonts w:ascii="Times New Roman" w:eastAsia="Times New Roman" w:hAnsi="Times New Roman" w:cs="Times New Roman"/>
          <w:sz w:val="24"/>
          <w:szCs w:val="24"/>
          <w:lang w:eastAsia="uk-UA"/>
        </w:rPr>
        <w:t>Albarran</w:t>
      </w:r>
      <w:proofErr w:type="spellEnd"/>
      <w:r w:rsidRPr="00EE695B">
        <w:rPr>
          <w:rFonts w:ascii="Times New Roman" w:eastAsia="Times New Roman" w:hAnsi="Times New Roman" w:cs="Times New Roman"/>
          <w:sz w:val="24"/>
          <w:szCs w:val="24"/>
          <w:lang w:eastAsia="uk-UA"/>
        </w:rPr>
        <w:t xml:space="preserve"> S. A., </w:t>
      </w:r>
      <w:proofErr w:type="spellStart"/>
      <w:r w:rsidRPr="00EE695B">
        <w:rPr>
          <w:rFonts w:ascii="Times New Roman" w:eastAsia="Times New Roman" w:hAnsi="Times New Roman" w:cs="Times New Roman"/>
          <w:sz w:val="24"/>
          <w:szCs w:val="24"/>
          <w:lang w:eastAsia="uk-UA"/>
        </w:rPr>
        <w:t>Raj</w:t>
      </w:r>
      <w:proofErr w:type="spellEnd"/>
      <w:r w:rsidRPr="00EE695B">
        <w:rPr>
          <w:rFonts w:ascii="Times New Roman" w:eastAsia="Times New Roman" w:hAnsi="Times New Roman" w:cs="Times New Roman"/>
          <w:sz w:val="24"/>
          <w:szCs w:val="24"/>
          <w:lang w:eastAsia="uk-UA"/>
        </w:rPr>
        <w:t xml:space="preserve"> S., </w:t>
      </w:r>
      <w:proofErr w:type="spellStart"/>
      <w:r w:rsidRPr="00EE695B">
        <w:rPr>
          <w:rFonts w:ascii="Times New Roman" w:eastAsia="Times New Roman" w:hAnsi="Times New Roman" w:cs="Times New Roman"/>
          <w:sz w:val="24"/>
          <w:szCs w:val="24"/>
          <w:lang w:eastAsia="uk-UA"/>
        </w:rPr>
        <w:t>Mahbub</w:t>
      </w:r>
      <w:proofErr w:type="spellEnd"/>
      <w:r w:rsidRPr="00EE695B">
        <w:rPr>
          <w:rFonts w:ascii="Times New Roman" w:eastAsia="Times New Roman" w:hAnsi="Times New Roman" w:cs="Times New Roman"/>
          <w:sz w:val="24"/>
          <w:szCs w:val="24"/>
          <w:lang w:eastAsia="uk-UA"/>
        </w:rPr>
        <w:t xml:space="preserve"> P., </w:t>
      </w:r>
      <w:proofErr w:type="spellStart"/>
      <w:r w:rsidRPr="00EE695B">
        <w:rPr>
          <w:rFonts w:ascii="Times New Roman" w:eastAsia="Times New Roman" w:hAnsi="Times New Roman" w:cs="Times New Roman"/>
          <w:sz w:val="24"/>
          <w:szCs w:val="24"/>
          <w:lang w:eastAsia="uk-UA"/>
        </w:rPr>
        <w:t>Woynaroski</w:t>
      </w:r>
      <w:proofErr w:type="spellEnd"/>
      <w:r w:rsidRPr="00EE695B">
        <w:rPr>
          <w:rFonts w:ascii="Times New Roman" w:eastAsia="Times New Roman" w:hAnsi="Times New Roman" w:cs="Times New Roman"/>
          <w:sz w:val="24"/>
          <w:szCs w:val="24"/>
          <w:lang w:eastAsia="uk-UA"/>
        </w:rPr>
        <w:t xml:space="preserve"> T. G. Project AIM: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Intervention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Meta-Analysis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Studies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of</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Young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Children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Psychological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Bulletin</w:t>
      </w:r>
      <w:proofErr w:type="spellEnd"/>
      <w:r w:rsidRPr="00EE695B">
        <w:rPr>
          <w:rFonts w:ascii="Times New Roman" w:eastAsia="Times New Roman" w:hAnsi="Times New Roman" w:cs="Times New Roman"/>
          <w:sz w:val="24"/>
          <w:szCs w:val="24"/>
          <w:lang w:eastAsia="uk-UA"/>
        </w:rPr>
        <w:t xml:space="preserve">. 2020. </w:t>
      </w:r>
      <w:proofErr w:type="spellStart"/>
      <w:r w:rsidRPr="00EE695B">
        <w:rPr>
          <w:rFonts w:ascii="Times New Roman" w:eastAsia="Times New Roman" w:hAnsi="Times New Roman" w:cs="Times New Roman"/>
          <w:sz w:val="24"/>
          <w:szCs w:val="24"/>
          <w:lang w:eastAsia="uk-UA"/>
        </w:rPr>
        <w:t>Vol</w:t>
      </w:r>
      <w:proofErr w:type="spellEnd"/>
      <w:r w:rsidRPr="00EE695B">
        <w:rPr>
          <w:rFonts w:ascii="Times New Roman" w:eastAsia="Times New Roman" w:hAnsi="Times New Roman" w:cs="Times New Roman"/>
          <w:sz w:val="24"/>
          <w:szCs w:val="24"/>
          <w:lang w:eastAsia="uk-UA"/>
        </w:rPr>
        <w:t xml:space="preserve">. 146, </w:t>
      </w:r>
      <w:proofErr w:type="spellStart"/>
      <w:r w:rsidRPr="00EE695B">
        <w:rPr>
          <w:rFonts w:ascii="Times New Roman" w:eastAsia="Times New Roman" w:hAnsi="Times New Roman" w:cs="Times New Roman"/>
          <w:sz w:val="24"/>
          <w:szCs w:val="24"/>
          <w:lang w:eastAsia="uk-UA"/>
        </w:rPr>
        <w:t>No</w:t>
      </w:r>
      <w:proofErr w:type="spellEnd"/>
      <w:r w:rsidRPr="00EE695B">
        <w:rPr>
          <w:rFonts w:ascii="Times New Roman" w:eastAsia="Times New Roman" w:hAnsi="Times New Roman" w:cs="Times New Roman"/>
          <w:sz w:val="24"/>
          <w:szCs w:val="24"/>
          <w:lang w:eastAsia="uk-UA"/>
        </w:rPr>
        <w:t>. 1. P. 1–29.</w:t>
      </w:r>
    </w:p>
    <w:p w14:paraId="2D437220"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Schreibman</w:t>
      </w:r>
      <w:proofErr w:type="spellEnd"/>
      <w:r w:rsidRPr="00EE695B">
        <w:rPr>
          <w:rFonts w:ascii="Times New Roman" w:eastAsia="Times New Roman" w:hAnsi="Times New Roman" w:cs="Times New Roman"/>
          <w:sz w:val="24"/>
          <w:szCs w:val="24"/>
          <w:lang w:eastAsia="uk-UA"/>
        </w:rPr>
        <w:t xml:space="preserve"> L., </w:t>
      </w:r>
      <w:proofErr w:type="spellStart"/>
      <w:r w:rsidRPr="00EE695B">
        <w:rPr>
          <w:rFonts w:ascii="Times New Roman" w:eastAsia="Times New Roman" w:hAnsi="Times New Roman" w:cs="Times New Roman"/>
          <w:sz w:val="24"/>
          <w:szCs w:val="24"/>
          <w:lang w:eastAsia="uk-UA"/>
        </w:rPr>
        <w:t>Dawson</w:t>
      </w:r>
      <w:proofErr w:type="spellEnd"/>
      <w:r w:rsidRPr="00EE695B">
        <w:rPr>
          <w:rFonts w:ascii="Times New Roman" w:eastAsia="Times New Roman" w:hAnsi="Times New Roman" w:cs="Times New Roman"/>
          <w:sz w:val="24"/>
          <w:szCs w:val="24"/>
          <w:lang w:eastAsia="uk-UA"/>
        </w:rPr>
        <w:t xml:space="preserve"> G., </w:t>
      </w:r>
      <w:proofErr w:type="spellStart"/>
      <w:r w:rsidRPr="00EE695B">
        <w:rPr>
          <w:rFonts w:ascii="Times New Roman" w:eastAsia="Times New Roman" w:hAnsi="Times New Roman" w:cs="Times New Roman"/>
          <w:sz w:val="24"/>
          <w:szCs w:val="24"/>
          <w:lang w:eastAsia="uk-UA"/>
        </w:rPr>
        <w:t>Stahmer</w:t>
      </w:r>
      <w:proofErr w:type="spellEnd"/>
      <w:r w:rsidRPr="00EE695B">
        <w:rPr>
          <w:rFonts w:ascii="Times New Roman" w:eastAsia="Times New Roman" w:hAnsi="Times New Roman" w:cs="Times New Roman"/>
          <w:sz w:val="24"/>
          <w:szCs w:val="24"/>
          <w:lang w:eastAsia="uk-UA"/>
        </w:rPr>
        <w:t xml:space="preserve"> A. C., </w:t>
      </w:r>
      <w:proofErr w:type="spellStart"/>
      <w:r w:rsidRPr="00EE695B">
        <w:rPr>
          <w:rFonts w:ascii="Times New Roman" w:eastAsia="Times New Roman" w:hAnsi="Times New Roman" w:cs="Times New Roman"/>
          <w:sz w:val="24"/>
          <w:szCs w:val="24"/>
          <w:lang w:eastAsia="uk-UA"/>
        </w:rPr>
        <w:t>Landa</w:t>
      </w:r>
      <w:proofErr w:type="spellEnd"/>
      <w:r w:rsidRPr="00EE695B">
        <w:rPr>
          <w:rFonts w:ascii="Times New Roman" w:eastAsia="Times New Roman" w:hAnsi="Times New Roman" w:cs="Times New Roman"/>
          <w:sz w:val="24"/>
          <w:szCs w:val="24"/>
          <w:lang w:eastAsia="uk-UA"/>
        </w:rPr>
        <w:t xml:space="preserve"> R., </w:t>
      </w:r>
      <w:proofErr w:type="spellStart"/>
      <w:r w:rsidRPr="00EE695B">
        <w:rPr>
          <w:rFonts w:ascii="Times New Roman" w:eastAsia="Times New Roman" w:hAnsi="Times New Roman" w:cs="Times New Roman"/>
          <w:sz w:val="24"/>
          <w:szCs w:val="24"/>
          <w:lang w:eastAsia="uk-UA"/>
        </w:rPr>
        <w:t>Rogers</w:t>
      </w:r>
      <w:proofErr w:type="spellEnd"/>
      <w:r w:rsidRPr="00EE695B">
        <w:rPr>
          <w:rFonts w:ascii="Times New Roman" w:eastAsia="Times New Roman" w:hAnsi="Times New Roman" w:cs="Times New Roman"/>
          <w:sz w:val="24"/>
          <w:szCs w:val="24"/>
          <w:lang w:eastAsia="uk-UA"/>
        </w:rPr>
        <w:t xml:space="preserve"> S. J., </w:t>
      </w:r>
      <w:proofErr w:type="spellStart"/>
      <w:r w:rsidRPr="00EE695B">
        <w:rPr>
          <w:rFonts w:ascii="Times New Roman" w:eastAsia="Times New Roman" w:hAnsi="Times New Roman" w:cs="Times New Roman"/>
          <w:sz w:val="24"/>
          <w:szCs w:val="24"/>
          <w:lang w:eastAsia="uk-UA"/>
        </w:rPr>
        <w:t>McGee</w:t>
      </w:r>
      <w:proofErr w:type="spellEnd"/>
      <w:r w:rsidRPr="00EE695B">
        <w:rPr>
          <w:rFonts w:ascii="Times New Roman" w:eastAsia="Times New Roman" w:hAnsi="Times New Roman" w:cs="Times New Roman"/>
          <w:sz w:val="24"/>
          <w:szCs w:val="24"/>
          <w:lang w:eastAsia="uk-UA"/>
        </w:rPr>
        <w:t xml:space="preserve"> G. G., </w:t>
      </w:r>
      <w:proofErr w:type="spellStart"/>
      <w:r w:rsidRPr="00EE695B">
        <w:rPr>
          <w:rFonts w:ascii="Times New Roman" w:eastAsia="Times New Roman" w:hAnsi="Times New Roman" w:cs="Times New Roman"/>
          <w:sz w:val="24"/>
          <w:szCs w:val="24"/>
          <w:lang w:eastAsia="uk-UA"/>
        </w:rPr>
        <w:t>Kasari</w:t>
      </w:r>
      <w:proofErr w:type="spellEnd"/>
      <w:r w:rsidRPr="00EE695B">
        <w:rPr>
          <w:rFonts w:ascii="Times New Roman" w:eastAsia="Times New Roman" w:hAnsi="Times New Roman" w:cs="Times New Roman"/>
          <w:sz w:val="24"/>
          <w:szCs w:val="24"/>
          <w:lang w:eastAsia="uk-UA"/>
        </w:rPr>
        <w:t xml:space="preserve"> C., </w:t>
      </w:r>
      <w:proofErr w:type="spellStart"/>
      <w:r w:rsidRPr="00EE695B">
        <w:rPr>
          <w:rFonts w:ascii="Times New Roman" w:eastAsia="Times New Roman" w:hAnsi="Times New Roman" w:cs="Times New Roman"/>
          <w:sz w:val="24"/>
          <w:szCs w:val="24"/>
          <w:lang w:eastAsia="uk-UA"/>
        </w:rPr>
        <w:t>Ingersoll</w:t>
      </w:r>
      <w:proofErr w:type="spellEnd"/>
      <w:r w:rsidRPr="00EE695B">
        <w:rPr>
          <w:rFonts w:ascii="Times New Roman" w:eastAsia="Times New Roman" w:hAnsi="Times New Roman" w:cs="Times New Roman"/>
          <w:sz w:val="24"/>
          <w:szCs w:val="24"/>
          <w:lang w:eastAsia="uk-UA"/>
        </w:rPr>
        <w:t xml:space="preserve"> B., </w:t>
      </w:r>
      <w:proofErr w:type="spellStart"/>
      <w:r w:rsidRPr="00EE695B">
        <w:rPr>
          <w:rFonts w:ascii="Times New Roman" w:eastAsia="Times New Roman" w:hAnsi="Times New Roman" w:cs="Times New Roman"/>
          <w:sz w:val="24"/>
          <w:szCs w:val="24"/>
          <w:lang w:eastAsia="uk-UA"/>
        </w:rPr>
        <w:t>Kaiser</w:t>
      </w:r>
      <w:proofErr w:type="spellEnd"/>
      <w:r w:rsidRPr="00EE695B">
        <w:rPr>
          <w:rFonts w:ascii="Times New Roman" w:eastAsia="Times New Roman" w:hAnsi="Times New Roman" w:cs="Times New Roman"/>
          <w:sz w:val="24"/>
          <w:szCs w:val="24"/>
          <w:lang w:eastAsia="uk-UA"/>
        </w:rPr>
        <w:t xml:space="preserve"> A. P., </w:t>
      </w:r>
      <w:proofErr w:type="spellStart"/>
      <w:r w:rsidRPr="00EE695B">
        <w:rPr>
          <w:rFonts w:ascii="Times New Roman" w:eastAsia="Times New Roman" w:hAnsi="Times New Roman" w:cs="Times New Roman"/>
          <w:sz w:val="24"/>
          <w:szCs w:val="24"/>
          <w:lang w:eastAsia="uk-UA"/>
        </w:rPr>
        <w:t>Bruinsma</w:t>
      </w:r>
      <w:proofErr w:type="spellEnd"/>
      <w:r w:rsidRPr="00EE695B">
        <w:rPr>
          <w:rFonts w:ascii="Times New Roman" w:eastAsia="Times New Roman" w:hAnsi="Times New Roman" w:cs="Times New Roman"/>
          <w:sz w:val="24"/>
          <w:szCs w:val="24"/>
          <w:lang w:eastAsia="uk-UA"/>
        </w:rPr>
        <w:t xml:space="preserve"> Y., </w:t>
      </w:r>
      <w:proofErr w:type="spellStart"/>
      <w:r w:rsidRPr="00EE695B">
        <w:rPr>
          <w:rFonts w:ascii="Times New Roman" w:eastAsia="Times New Roman" w:hAnsi="Times New Roman" w:cs="Times New Roman"/>
          <w:sz w:val="24"/>
          <w:szCs w:val="24"/>
          <w:lang w:eastAsia="uk-UA"/>
        </w:rPr>
        <w:t>McNerney</w:t>
      </w:r>
      <w:proofErr w:type="spellEnd"/>
      <w:r w:rsidRPr="00EE695B">
        <w:rPr>
          <w:rFonts w:ascii="Times New Roman" w:eastAsia="Times New Roman" w:hAnsi="Times New Roman" w:cs="Times New Roman"/>
          <w:sz w:val="24"/>
          <w:szCs w:val="24"/>
          <w:lang w:eastAsia="uk-UA"/>
        </w:rPr>
        <w:t xml:space="preserve"> E., </w:t>
      </w:r>
      <w:proofErr w:type="spellStart"/>
      <w:r w:rsidRPr="00EE695B">
        <w:rPr>
          <w:rFonts w:ascii="Times New Roman" w:eastAsia="Times New Roman" w:hAnsi="Times New Roman" w:cs="Times New Roman"/>
          <w:sz w:val="24"/>
          <w:szCs w:val="24"/>
          <w:lang w:eastAsia="uk-UA"/>
        </w:rPr>
        <w:t>Wetherby</w:t>
      </w:r>
      <w:proofErr w:type="spellEnd"/>
      <w:r w:rsidRPr="00EE695B">
        <w:rPr>
          <w:rFonts w:ascii="Times New Roman" w:eastAsia="Times New Roman" w:hAnsi="Times New Roman" w:cs="Times New Roman"/>
          <w:sz w:val="24"/>
          <w:szCs w:val="24"/>
          <w:lang w:eastAsia="uk-UA"/>
        </w:rPr>
        <w:t xml:space="preserve"> A., </w:t>
      </w:r>
      <w:proofErr w:type="spellStart"/>
      <w:r w:rsidRPr="00EE695B">
        <w:rPr>
          <w:rFonts w:ascii="Times New Roman" w:eastAsia="Times New Roman" w:hAnsi="Times New Roman" w:cs="Times New Roman"/>
          <w:sz w:val="24"/>
          <w:szCs w:val="24"/>
          <w:lang w:eastAsia="uk-UA"/>
        </w:rPr>
        <w:t>Halladay</w:t>
      </w:r>
      <w:proofErr w:type="spellEnd"/>
      <w:r w:rsidRPr="00EE695B">
        <w:rPr>
          <w:rFonts w:ascii="Times New Roman" w:eastAsia="Times New Roman" w:hAnsi="Times New Roman" w:cs="Times New Roman"/>
          <w:sz w:val="24"/>
          <w:szCs w:val="24"/>
          <w:lang w:eastAsia="uk-UA"/>
        </w:rPr>
        <w:t xml:space="preserve"> A. </w:t>
      </w:r>
      <w:proofErr w:type="spellStart"/>
      <w:r w:rsidRPr="00EE695B">
        <w:rPr>
          <w:rFonts w:ascii="Times New Roman" w:eastAsia="Times New Roman" w:hAnsi="Times New Roman" w:cs="Times New Roman"/>
          <w:sz w:val="24"/>
          <w:szCs w:val="24"/>
          <w:lang w:eastAsia="uk-UA"/>
        </w:rPr>
        <w:t>Naturalistic</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Developmental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Behavioral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Interventions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Empirically</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Validated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Treatments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Spectrum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Journal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of</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Developmental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Disorders</w:t>
      </w:r>
      <w:proofErr w:type="spellEnd"/>
      <w:r w:rsidRPr="00EE695B">
        <w:rPr>
          <w:rFonts w:ascii="Times New Roman" w:eastAsia="Times New Roman" w:hAnsi="Times New Roman" w:cs="Times New Roman"/>
          <w:sz w:val="24"/>
          <w:szCs w:val="24"/>
          <w:lang w:eastAsia="uk-UA"/>
        </w:rPr>
        <w:t xml:space="preserve">. 2015. </w:t>
      </w:r>
      <w:proofErr w:type="spellStart"/>
      <w:r w:rsidRPr="00EE695B">
        <w:rPr>
          <w:rFonts w:ascii="Times New Roman" w:eastAsia="Times New Roman" w:hAnsi="Times New Roman" w:cs="Times New Roman"/>
          <w:sz w:val="24"/>
          <w:szCs w:val="24"/>
          <w:lang w:eastAsia="uk-UA"/>
        </w:rPr>
        <w:t>Vol</w:t>
      </w:r>
      <w:proofErr w:type="spellEnd"/>
      <w:r w:rsidRPr="00EE695B">
        <w:rPr>
          <w:rFonts w:ascii="Times New Roman" w:eastAsia="Times New Roman" w:hAnsi="Times New Roman" w:cs="Times New Roman"/>
          <w:sz w:val="24"/>
          <w:szCs w:val="24"/>
          <w:lang w:eastAsia="uk-UA"/>
        </w:rPr>
        <w:t>. 45. P. 2411–2428.</w:t>
      </w:r>
    </w:p>
    <w:p w14:paraId="0F7E0A99"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lastRenderedPageBreak/>
        <w:t>Rogers</w:t>
      </w:r>
      <w:proofErr w:type="spellEnd"/>
      <w:r w:rsidRPr="00EE695B">
        <w:rPr>
          <w:rFonts w:ascii="Times New Roman" w:eastAsia="Times New Roman" w:hAnsi="Times New Roman" w:cs="Times New Roman"/>
          <w:sz w:val="24"/>
          <w:szCs w:val="24"/>
          <w:lang w:eastAsia="uk-UA"/>
        </w:rPr>
        <w:t xml:space="preserve"> S. J., </w:t>
      </w:r>
      <w:proofErr w:type="spellStart"/>
      <w:r w:rsidRPr="00EE695B">
        <w:rPr>
          <w:rFonts w:ascii="Times New Roman" w:eastAsia="Times New Roman" w:hAnsi="Times New Roman" w:cs="Times New Roman"/>
          <w:sz w:val="24"/>
          <w:szCs w:val="24"/>
          <w:lang w:eastAsia="uk-UA"/>
        </w:rPr>
        <w:t>Dawson</w:t>
      </w:r>
      <w:proofErr w:type="spellEnd"/>
      <w:r w:rsidRPr="00EE695B">
        <w:rPr>
          <w:rFonts w:ascii="Times New Roman" w:eastAsia="Times New Roman" w:hAnsi="Times New Roman" w:cs="Times New Roman"/>
          <w:sz w:val="24"/>
          <w:szCs w:val="24"/>
          <w:lang w:eastAsia="uk-UA"/>
        </w:rPr>
        <w:t xml:space="preserve"> G. </w:t>
      </w:r>
      <w:proofErr w:type="spellStart"/>
      <w:r w:rsidRPr="00EE695B">
        <w:rPr>
          <w:rFonts w:ascii="Times New Roman" w:eastAsia="Times New Roman" w:hAnsi="Times New Roman" w:cs="Times New Roman"/>
          <w:sz w:val="24"/>
          <w:szCs w:val="24"/>
          <w:lang w:eastAsia="uk-UA"/>
        </w:rPr>
        <w:t>Early</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Start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Denver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Model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Young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Children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with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Promoting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Language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Learning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Engagement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New</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York</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Guilford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Press</w:t>
      </w:r>
      <w:proofErr w:type="spellEnd"/>
      <w:r w:rsidRPr="00EE695B">
        <w:rPr>
          <w:rFonts w:ascii="Times New Roman" w:eastAsia="Times New Roman" w:hAnsi="Times New Roman" w:cs="Times New Roman"/>
          <w:sz w:val="24"/>
          <w:szCs w:val="24"/>
          <w:lang w:eastAsia="uk-UA"/>
        </w:rPr>
        <w:t>, 2010.</w:t>
      </w:r>
    </w:p>
    <w:p w14:paraId="7169424E"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Wong</w:t>
      </w:r>
      <w:proofErr w:type="spellEnd"/>
      <w:r w:rsidRPr="00EE695B">
        <w:rPr>
          <w:rFonts w:ascii="Times New Roman" w:eastAsia="Times New Roman" w:hAnsi="Times New Roman" w:cs="Times New Roman"/>
          <w:sz w:val="24"/>
          <w:szCs w:val="24"/>
          <w:lang w:eastAsia="uk-UA"/>
        </w:rPr>
        <w:t xml:space="preserve"> C., </w:t>
      </w:r>
      <w:proofErr w:type="spellStart"/>
      <w:r w:rsidRPr="00EE695B">
        <w:rPr>
          <w:rFonts w:ascii="Times New Roman" w:eastAsia="Times New Roman" w:hAnsi="Times New Roman" w:cs="Times New Roman"/>
          <w:sz w:val="24"/>
          <w:szCs w:val="24"/>
          <w:lang w:eastAsia="uk-UA"/>
        </w:rPr>
        <w:t>Odom</w:t>
      </w:r>
      <w:proofErr w:type="spellEnd"/>
      <w:r w:rsidRPr="00EE695B">
        <w:rPr>
          <w:rFonts w:ascii="Times New Roman" w:eastAsia="Times New Roman" w:hAnsi="Times New Roman" w:cs="Times New Roman"/>
          <w:sz w:val="24"/>
          <w:szCs w:val="24"/>
          <w:lang w:eastAsia="uk-UA"/>
        </w:rPr>
        <w:t xml:space="preserve"> S. L., </w:t>
      </w:r>
      <w:proofErr w:type="spellStart"/>
      <w:r w:rsidRPr="00EE695B">
        <w:rPr>
          <w:rFonts w:ascii="Times New Roman" w:eastAsia="Times New Roman" w:hAnsi="Times New Roman" w:cs="Times New Roman"/>
          <w:sz w:val="24"/>
          <w:szCs w:val="24"/>
          <w:lang w:eastAsia="uk-UA"/>
        </w:rPr>
        <w:t>Hume</w:t>
      </w:r>
      <w:proofErr w:type="spellEnd"/>
      <w:r w:rsidRPr="00EE695B">
        <w:rPr>
          <w:rFonts w:ascii="Times New Roman" w:eastAsia="Times New Roman" w:hAnsi="Times New Roman" w:cs="Times New Roman"/>
          <w:sz w:val="24"/>
          <w:szCs w:val="24"/>
          <w:lang w:eastAsia="uk-UA"/>
        </w:rPr>
        <w:t xml:space="preserve"> K. A., </w:t>
      </w:r>
      <w:proofErr w:type="spellStart"/>
      <w:r w:rsidRPr="00EE695B">
        <w:rPr>
          <w:rFonts w:ascii="Times New Roman" w:eastAsia="Times New Roman" w:hAnsi="Times New Roman" w:cs="Times New Roman"/>
          <w:sz w:val="24"/>
          <w:szCs w:val="24"/>
          <w:lang w:eastAsia="uk-UA"/>
        </w:rPr>
        <w:t>Cox</w:t>
      </w:r>
      <w:proofErr w:type="spellEnd"/>
      <w:r w:rsidRPr="00EE695B">
        <w:rPr>
          <w:rFonts w:ascii="Times New Roman" w:eastAsia="Times New Roman" w:hAnsi="Times New Roman" w:cs="Times New Roman"/>
          <w:sz w:val="24"/>
          <w:szCs w:val="24"/>
          <w:lang w:eastAsia="uk-UA"/>
        </w:rPr>
        <w:t xml:space="preserve"> A. W., </w:t>
      </w:r>
      <w:proofErr w:type="spellStart"/>
      <w:r w:rsidRPr="00EE695B">
        <w:rPr>
          <w:rFonts w:ascii="Times New Roman" w:eastAsia="Times New Roman" w:hAnsi="Times New Roman" w:cs="Times New Roman"/>
          <w:sz w:val="24"/>
          <w:szCs w:val="24"/>
          <w:lang w:eastAsia="uk-UA"/>
        </w:rPr>
        <w:t>Fettig</w:t>
      </w:r>
      <w:proofErr w:type="spellEnd"/>
      <w:r w:rsidRPr="00EE695B">
        <w:rPr>
          <w:rFonts w:ascii="Times New Roman" w:eastAsia="Times New Roman" w:hAnsi="Times New Roman" w:cs="Times New Roman"/>
          <w:sz w:val="24"/>
          <w:szCs w:val="24"/>
          <w:lang w:eastAsia="uk-UA"/>
        </w:rPr>
        <w:t xml:space="preserve"> A., </w:t>
      </w:r>
      <w:proofErr w:type="spellStart"/>
      <w:r w:rsidRPr="00EE695B">
        <w:rPr>
          <w:rFonts w:ascii="Times New Roman" w:eastAsia="Times New Roman" w:hAnsi="Times New Roman" w:cs="Times New Roman"/>
          <w:sz w:val="24"/>
          <w:szCs w:val="24"/>
          <w:lang w:eastAsia="uk-UA"/>
        </w:rPr>
        <w:t>Kucharczyk</w:t>
      </w:r>
      <w:proofErr w:type="spellEnd"/>
      <w:r w:rsidRPr="00EE695B">
        <w:rPr>
          <w:rFonts w:ascii="Times New Roman" w:eastAsia="Times New Roman" w:hAnsi="Times New Roman" w:cs="Times New Roman"/>
          <w:sz w:val="24"/>
          <w:szCs w:val="24"/>
          <w:lang w:eastAsia="uk-UA"/>
        </w:rPr>
        <w:t xml:space="preserve"> S., </w:t>
      </w:r>
      <w:proofErr w:type="spellStart"/>
      <w:r w:rsidRPr="00EE695B">
        <w:rPr>
          <w:rFonts w:ascii="Times New Roman" w:eastAsia="Times New Roman" w:hAnsi="Times New Roman" w:cs="Times New Roman"/>
          <w:sz w:val="24"/>
          <w:szCs w:val="24"/>
          <w:lang w:eastAsia="uk-UA"/>
        </w:rPr>
        <w:t>Brock</w:t>
      </w:r>
      <w:proofErr w:type="spellEnd"/>
      <w:r w:rsidRPr="00EE695B">
        <w:rPr>
          <w:rFonts w:ascii="Times New Roman" w:eastAsia="Times New Roman" w:hAnsi="Times New Roman" w:cs="Times New Roman"/>
          <w:sz w:val="24"/>
          <w:szCs w:val="24"/>
          <w:lang w:eastAsia="uk-UA"/>
        </w:rPr>
        <w:t xml:space="preserve"> M. E., </w:t>
      </w:r>
      <w:proofErr w:type="spellStart"/>
      <w:r w:rsidRPr="00EE695B">
        <w:rPr>
          <w:rFonts w:ascii="Times New Roman" w:eastAsia="Times New Roman" w:hAnsi="Times New Roman" w:cs="Times New Roman"/>
          <w:sz w:val="24"/>
          <w:szCs w:val="24"/>
          <w:lang w:eastAsia="uk-UA"/>
        </w:rPr>
        <w:t>Plavnick</w:t>
      </w:r>
      <w:proofErr w:type="spellEnd"/>
      <w:r w:rsidRPr="00EE695B">
        <w:rPr>
          <w:rFonts w:ascii="Times New Roman" w:eastAsia="Times New Roman" w:hAnsi="Times New Roman" w:cs="Times New Roman"/>
          <w:sz w:val="24"/>
          <w:szCs w:val="24"/>
          <w:lang w:eastAsia="uk-UA"/>
        </w:rPr>
        <w:t xml:space="preserve"> J. B., </w:t>
      </w:r>
      <w:proofErr w:type="spellStart"/>
      <w:r w:rsidRPr="00EE695B">
        <w:rPr>
          <w:rFonts w:ascii="Times New Roman" w:eastAsia="Times New Roman" w:hAnsi="Times New Roman" w:cs="Times New Roman"/>
          <w:sz w:val="24"/>
          <w:szCs w:val="24"/>
          <w:lang w:eastAsia="uk-UA"/>
        </w:rPr>
        <w:t>Fleury</w:t>
      </w:r>
      <w:proofErr w:type="spellEnd"/>
      <w:r w:rsidRPr="00EE695B">
        <w:rPr>
          <w:rFonts w:ascii="Times New Roman" w:eastAsia="Times New Roman" w:hAnsi="Times New Roman" w:cs="Times New Roman"/>
          <w:sz w:val="24"/>
          <w:szCs w:val="24"/>
          <w:lang w:eastAsia="uk-UA"/>
        </w:rPr>
        <w:t xml:space="preserve"> V. P., </w:t>
      </w:r>
      <w:proofErr w:type="spellStart"/>
      <w:r w:rsidRPr="00EE695B">
        <w:rPr>
          <w:rFonts w:ascii="Times New Roman" w:eastAsia="Times New Roman" w:hAnsi="Times New Roman" w:cs="Times New Roman"/>
          <w:sz w:val="24"/>
          <w:szCs w:val="24"/>
          <w:lang w:eastAsia="uk-UA"/>
        </w:rPr>
        <w:t>Schultz</w:t>
      </w:r>
      <w:proofErr w:type="spellEnd"/>
      <w:r w:rsidRPr="00EE695B">
        <w:rPr>
          <w:rFonts w:ascii="Times New Roman" w:eastAsia="Times New Roman" w:hAnsi="Times New Roman" w:cs="Times New Roman"/>
          <w:sz w:val="24"/>
          <w:szCs w:val="24"/>
          <w:lang w:eastAsia="uk-UA"/>
        </w:rPr>
        <w:t xml:space="preserve"> T. R. </w:t>
      </w:r>
      <w:proofErr w:type="spellStart"/>
      <w:r w:rsidRPr="00EE695B">
        <w:rPr>
          <w:rFonts w:ascii="Times New Roman" w:eastAsia="Times New Roman" w:hAnsi="Times New Roman" w:cs="Times New Roman"/>
          <w:sz w:val="24"/>
          <w:szCs w:val="24"/>
          <w:lang w:eastAsia="uk-UA"/>
        </w:rPr>
        <w:t>Evidence-Based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Practices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Children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Youth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Young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Adults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with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Spectrum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w:t>
      </w:r>
      <w:proofErr w:type="spellEnd"/>
      <w:r w:rsidRPr="00EE695B">
        <w:rPr>
          <w:rFonts w:ascii="Times New Roman" w:eastAsia="Times New Roman" w:hAnsi="Times New Roman" w:cs="Times New Roman"/>
          <w:sz w:val="24"/>
          <w:szCs w:val="24"/>
          <w:lang w:eastAsia="uk-UA"/>
        </w:rPr>
        <w:t xml:space="preserve">: A </w:t>
      </w:r>
      <w:proofErr w:type="spellStart"/>
      <w:r w:rsidRPr="00EE695B">
        <w:rPr>
          <w:rFonts w:ascii="Times New Roman" w:eastAsia="Times New Roman" w:hAnsi="Times New Roman" w:cs="Times New Roman"/>
          <w:sz w:val="24"/>
          <w:szCs w:val="24"/>
          <w:lang w:eastAsia="uk-UA"/>
        </w:rPr>
        <w:t>Comprehensive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Review</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Journal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of</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Developmental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Disorders</w:t>
      </w:r>
      <w:proofErr w:type="spellEnd"/>
      <w:r w:rsidRPr="00EE695B">
        <w:rPr>
          <w:rFonts w:ascii="Times New Roman" w:eastAsia="Times New Roman" w:hAnsi="Times New Roman" w:cs="Times New Roman"/>
          <w:sz w:val="24"/>
          <w:szCs w:val="24"/>
          <w:lang w:eastAsia="uk-UA"/>
        </w:rPr>
        <w:t xml:space="preserve">. 2015. </w:t>
      </w:r>
      <w:proofErr w:type="spellStart"/>
      <w:r w:rsidRPr="00EE695B">
        <w:rPr>
          <w:rFonts w:ascii="Times New Roman" w:eastAsia="Times New Roman" w:hAnsi="Times New Roman" w:cs="Times New Roman"/>
          <w:sz w:val="24"/>
          <w:szCs w:val="24"/>
          <w:lang w:eastAsia="uk-UA"/>
        </w:rPr>
        <w:t>Vol</w:t>
      </w:r>
      <w:proofErr w:type="spellEnd"/>
      <w:r w:rsidRPr="00EE695B">
        <w:rPr>
          <w:rFonts w:ascii="Times New Roman" w:eastAsia="Times New Roman" w:hAnsi="Times New Roman" w:cs="Times New Roman"/>
          <w:sz w:val="24"/>
          <w:szCs w:val="24"/>
          <w:lang w:eastAsia="uk-UA"/>
        </w:rPr>
        <w:t>. 45. P. 1951–1966.</w:t>
      </w:r>
    </w:p>
    <w:p w14:paraId="6E21A969"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National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Institute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Health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Care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Excellence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spectrum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under</w:t>
      </w:r>
      <w:proofErr w:type="spellEnd"/>
      <w:r w:rsidRPr="00EE695B">
        <w:rPr>
          <w:rFonts w:ascii="Times New Roman" w:eastAsia="Times New Roman" w:hAnsi="Times New Roman" w:cs="Times New Roman"/>
          <w:sz w:val="24"/>
          <w:szCs w:val="24"/>
          <w:lang w:eastAsia="uk-UA"/>
        </w:rPr>
        <w:t xml:space="preserve"> 19s: </w:t>
      </w:r>
      <w:proofErr w:type="spellStart"/>
      <w:r w:rsidRPr="00EE695B">
        <w:rPr>
          <w:rFonts w:ascii="Times New Roman" w:eastAsia="Times New Roman" w:hAnsi="Times New Roman" w:cs="Times New Roman"/>
          <w:sz w:val="24"/>
          <w:szCs w:val="24"/>
          <w:lang w:eastAsia="uk-UA"/>
        </w:rPr>
        <w:t>support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management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Clinical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guideline</w:t>
      </w:r>
      <w:proofErr w:type="spellEnd"/>
      <w:r w:rsidRPr="00EE695B">
        <w:rPr>
          <w:rFonts w:ascii="Times New Roman" w:eastAsia="Times New Roman" w:hAnsi="Times New Roman" w:cs="Times New Roman"/>
          <w:sz w:val="24"/>
          <w:szCs w:val="24"/>
          <w:lang w:eastAsia="uk-UA"/>
        </w:rPr>
        <w:t xml:space="preserve"> CG170. </w:t>
      </w:r>
      <w:hyperlink r:id="rId6" w:history="1">
        <w:r w:rsidRPr="00EE695B">
          <w:rPr>
            <w:rFonts w:ascii="Times New Roman" w:eastAsia="Times New Roman" w:hAnsi="Times New Roman" w:cs="Times New Roman"/>
            <w:color w:val="0000FF"/>
            <w:sz w:val="24"/>
            <w:szCs w:val="24"/>
            <w:u w:val="single"/>
            <w:lang w:eastAsia="uk-UA"/>
          </w:rPr>
          <w:t>Клінічні рекомендації NICE</w:t>
        </w:r>
      </w:hyperlink>
      <w:r w:rsidRPr="00EE695B">
        <w:rPr>
          <w:rFonts w:ascii="Times New Roman" w:eastAsia="Times New Roman" w:hAnsi="Times New Roman" w:cs="Times New Roman"/>
          <w:sz w:val="24"/>
          <w:szCs w:val="24"/>
          <w:lang w:eastAsia="uk-UA"/>
        </w:rPr>
        <w:t>.</w:t>
      </w:r>
    </w:p>
    <w:p w14:paraId="1C6D23BF"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National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Institute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Health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Care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Excellence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spectrum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in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adults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diagnosis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management</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Clinical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guideline</w:t>
      </w:r>
      <w:proofErr w:type="spellEnd"/>
      <w:r w:rsidRPr="00EE695B">
        <w:rPr>
          <w:rFonts w:ascii="Times New Roman" w:eastAsia="Times New Roman" w:hAnsi="Times New Roman" w:cs="Times New Roman"/>
          <w:sz w:val="24"/>
          <w:szCs w:val="24"/>
          <w:lang w:eastAsia="uk-UA"/>
        </w:rPr>
        <w:t xml:space="preserve"> CG142. </w:t>
      </w:r>
      <w:hyperlink r:id="rId7" w:history="1">
        <w:r w:rsidRPr="00EE695B">
          <w:rPr>
            <w:rFonts w:ascii="Times New Roman" w:eastAsia="Times New Roman" w:hAnsi="Times New Roman" w:cs="Times New Roman"/>
            <w:color w:val="0000FF"/>
            <w:sz w:val="24"/>
            <w:szCs w:val="24"/>
            <w:u w:val="single"/>
            <w:lang w:eastAsia="uk-UA"/>
          </w:rPr>
          <w:t>Рекомендації щодо підтримки дорослих з РАС</w:t>
        </w:r>
      </w:hyperlink>
      <w:r w:rsidRPr="00EE695B">
        <w:rPr>
          <w:rFonts w:ascii="Times New Roman" w:eastAsia="Times New Roman" w:hAnsi="Times New Roman" w:cs="Times New Roman"/>
          <w:sz w:val="24"/>
          <w:szCs w:val="24"/>
          <w:lang w:eastAsia="uk-UA"/>
        </w:rPr>
        <w:t>.</w:t>
      </w:r>
    </w:p>
    <w:p w14:paraId="220120F1"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American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Speech-Language-Hearing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Association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Autism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Spectrum</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Disorder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Practice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Portal</w:t>
      </w:r>
      <w:proofErr w:type="spellEnd"/>
      <w:r w:rsidRPr="00EE695B">
        <w:rPr>
          <w:rFonts w:ascii="Times New Roman" w:eastAsia="Times New Roman" w:hAnsi="Times New Roman" w:cs="Times New Roman"/>
          <w:sz w:val="24"/>
          <w:szCs w:val="24"/>
          <w:lang w:eastAsia="uk-UA"/>
        </w:rPr>
        <w:t xml:space="preserve">. </w:t>
      </w:r>
      <w:hyperlink r:id="rId8" w:history="1">
        <w:r w:rsidRPr="00EE695B">
          <w:rPr>
            <w:rFonts w:ascii="Times New Roman" w:eastAsia="Times New Roman" w:hAnsi="Times New Roman" w:cs="Times New Roman"/>
            <w:color w:val="0000FF"/>
            <w:sz w:val="24"/>
            <w:szCs w:val="24"/>
            <w:u w:val="single"/>
            <w:lang w:eastAsia="uk-UA"/>
          </w:rPr>
          <w:t>Професійні матеріали ASHA</w:t>
        </w:r>
      </w:hyperlink>
      <w:r w:rsidRPr="00EE695B">
        <w:rPr>
          <w:rFonts w:ascii="Times New Roman" w:eastAsia="Times New Roman" w:hAnsi="Times New Roman" w:cs="Times New Roman"/>
          <w:sz w:val="24"/>
          <w:szCs w:val="24"/>
          <w:lang w:eastAsia="uk-UA"/>
        </w:rPr>
        <w:t>.</w:t>
      </w:r>
    </w:p>
    <w:p w14:paraId="20598D20"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American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Speech-Language-Hearing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Association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Augmentative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and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Alternative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Communication</w:t>
      </w:r>
      <w:proofErr w:type="spellEnd"/>
      <w:r w:rsidRPr="00EE695B">
        <w:rPr>
          <w:rFonts w:ascii="Times New Roman" w:eastAsia="Times New Roman" w:hAnsi="Times New Roman" w:cs="Times New Roman"/>
          <w:sz w:val="24"/>
          <w:szCs w:val="24"/>
          <w:lang w:eastAsia="uk-UA"/>
        </w:rPr>
        <w:t xml:space="preserve"> (AAC). </w:t>
      </w:r>
      <w:proofErr w:type="spellStart"/>
      <w:r w:rsidRPr="00EE695B">
        <w:rPr>
          <w:rFonts w:ascii="Times New Roman" w:eastAsia="Times New Roman" w:hAnsi="Times New Roman" w:cs="Times New Roman"/>
          <w:sz w:val="24"/>
          <w:szCs w:val="24"/>
          <w:lang w:eastAsia="uk-UA"/>
        </w:rPr>
        <w:t>Practice</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Portal</w:t>
      </w:r>
      <w:proofErr w:type="spellEnd"/>
      <w:r w:rsidRPr="00EE695B">
        <w:rPr>
          <w:rFonts w:ascii="Times New Roman" w:eastAsia="Times New Roman" w:hAnsi="Times New Roman" w:cs="Times New Roman"/>
          <w:sz w:val="24"/>
          <w:szCs w:val="24"/>
          <w:lang w:eastAsia="uk-UA"/>
        </w:rPr>
        <w:t xml:space="preserve">. </w:t>
      </w:r>
      <w:hyperlink r:id="rId9" w:history="1">
        <w:r w:rsidRPr="00EE695B">
          <w:rPr>
            <w:rFonts w:ascii="Times New Roman" w:eastAsia="Times New Roman" w:hAnsi="Times New Roman" w:cs="Times New Roman"/>
            <w:color w:val="0000FF"/>
            <w:sz w:val="24"/>
            <w:szCs w:val="24"/>
            <w:u w:val="single"/>
            <w:lang w:eastAsia="uk-UA"/>
          </w:rPr>
          <w:t>Матеріали щодо альтернативної та додаткової комунікації</w:t>
        </w:r>
      </w:hyperlink>
      <w:r w:rsidRPr="00EE695B">
        <w:rPr>
          <w:rFonts w:ascii="Times New Roman" w:eastAsia="Times New Roman" w:hAnsi="Times New Roman" w:cs="Times New Roman"/>
          <w:sz w:val="24"/>
          <w:szCs w:val="24"/>
          <w:lang w:eastAsia="uk-UA"/>
        </w:rPr>
        <w:t>.</w:t>
      </w:r>
    </w:p>
    <w:p w14:paraId="2687DAB8" w14:textId="77777777" w:rsidR="00EE695B" w:rsidRPr="00EE695B" w:rsidRDefault="00EE695B" w:rsidP="00EE695B">
      <w:pPr>
        <w:numPr>
          <w:ilvl w:val="0"/>
          <w:numId w:val="3"/>
        </w:numPr>
        <w:spacing w:after="0" w:line="240" w:lineRule="auto"/>
        <w:ind w:firstLine="709"/>
        <w:jc w:val="both"/>
        <w:rPr>
          <w:rFonts w:ascii="Times New Roman" w:eastAsia="Times New Roman" w:hAnsi="Times New Roman" w:cs="Times New Roman"/>
          <w:sz w:val="24"/>
          <w:szCs w:val="24"/>
          <w:lang w:eastAsia="uk-UA"/>
        </w:rPr>
      </w:pPr>
      <w:proofErr w:type="spellStart"/>
      <w:r w:rsidRPr="00EE695B">
        <w:rPr>
          <w:rFonts w:ascii="Times New Roman" w:eastAsia="Times New Roman" w:hAnsi="Times New Roman" w:cs="Times New Roman"/>
          <w:sz w:val="24"/>
          <w:szCs w:val="24"/>
          <w:lang w:eastAsia="uk-UA"/>
        </w:rPr>
        <w:t>World</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Health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Organization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Caregiver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Skills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Training</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Families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of</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Children</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with</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Developmental</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Delays</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or</w:t>
      </w:r>
      <w:proofErr w:type="spellEnd"/>
      <w:r w:rsidRPr="00EE695B">
        <w:rPr>
          <w:rFonts w:ascii="Times New Roman" w:eastAsia="Times New Roman" w:hAnsi="Times New Roman" w:cs="Times New Roman"/>
          <w:sz w:val="24"/>
          <w:szCs w:val="24"/>
          <w:lang w:eastAsia="uk-UA"/>
        </w:rPr>
        <w:t xml:space="preserve"> </w:t>
      </w:r>
      <w:proofErr w:type="spellStart"/>
      <w:r w:rsidRPr="00EE695B">
        <w:rPr>
          <w:rFonts w:ascii="Times New Roman" w:eastAsia="Times New Roman" w:hAnsi="Times New Roman" w:cs="Times New Roman"/>
          <w:sz w:val="24"/>
          <w:szCs w:val="24"/>
          <w:lang w:eastAsia="uk-UA"/>
        </w:rPr>
        <w:t>Disabilities</w:t>
      </w:r>
      <w:proofErr w:type="spellEnd"/>
      <w:r w:rsidRPr="00EE695B">
        <w:rPr>
          <w:rFonts w:ascii="Times New Roman" w:eastAsia="Times New Roman" w:hAnsi="Times New Roman" w:cs="Times New Roman"/>
          <w:sz w:val="24"/>
          <w:szCs w:val="24"/>
          <w:lang w:eastAsia="uk-UA"/>
        </w:rPr>
        <w:t xml:space="preserve">. </w:t>
      </w:r>
      <w:hyperlink r:id="rId10" w:history="1">
        <w:r w:rsidRPr="00EE695B">
          <w:rPr>
            <w:rFonts w:ascii="Times New Roman" w:eastAsia="Times New Roman" w:hAnsi="Times New Roman" w:cs="Times New Roman"/>
            <w:color w:val="0000FF"/>
            <w:sz w:val="24"/>
            <w:szCs w:val="24"/>
            <w:u w:val="single"/>
            <w:lang w:eastAsia="uk-UA"/>
          </w:rPr>
          <w:t>Програма навчання навичок догляду та підтримки родин ВООЗ</w:t>
        </w:r>
      </w:hyperlink>
      <w:r w:rsidRPr="00EE695B">
        <w:rPr>
          <w:rFonts w:ascii="Times New Roman" w:eastAsia="Times New Roman" w:hAnsi="Times New Roman" w:cs="Times New Roman"/>
          <w:sz w:val="24"/>
          <w:szCs w:val="24"/>
          <w:lang w:eastAsia="uk-UA"/>
        </w:rPr>
        <w:t>.</w:t>
      </w:r>
    </w:p>
    <w:p w14:paraId="1A129BFE" w14:textId="77777777" w:rsidR="0046585E" w:rsidRPr="00EE695B" w:rsidRDefault="0046585E" w:rsidP="00EE695B">
      <w:pPr>
        <w:spacing w:after="0"/>
        <w:ind w:firstLine="709"/>
        <w:jc w:val="both"/>
        <w:rPr>
          <w:rFonts w:ascii="Times New Roman" w:hAnsi="Times New Roman" w:cs="Times New Roman"/>
          <w:sz w:val="24"/>
          <w:szCs w:val="24"/>
        </w:rPr>
      </w:pPr>
    </w:p>
    <w:sectPr w:rsidR="0046585E" w:rsidRPr="00EE695B" w:rsidSect="00EE695B">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3B5E"/>
    <w:multiLevelType w:val="multilevel"/>
    <w:tmpl w:val="188C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200927"/>
    <w:multiLevelType w:val="multilevel"/>
    <w:tmpl w:val="188C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EE1DDD"/>
    <w:multiLevelType w:val="multilevel"/>
    <w:tmpl w:val="188C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95B"/>
    <w:rsid w:val="0046585E"/>
    <w:rsid w:val="00EE69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0888"/>
  <w15:chartTrackingRefBased/>
  <w15:docId w15:val="{07A2BCC8-611C-4E30-A212-188EDECD4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49535">
      <w:bodyDiv w:val="1"/>
      <w:marLeft w:val="0"/>
      <w:marRight w:val="0"/>
      <w:marTop w:val="0"/>
      <w:marBottom w:val="0"/>
      <w:divBdr>
        <w:top w:val="none" w:sz="0" w:space="0" w:color="auto"/>
        <w:left w:val="none" w:sz="0" w:space="0" w:color="auto"/>
        <w:bottom w:val="none" w:sz="0" w:space="0" w:color="auto"/>
        <w:right w:val="none" w:sz="0" w:space="0" w:color="auto"/>
      </w:divBdr>
      <w:divsChild>
        <w:div w:id="1934314320">
          <w:marLeft w:val="0"/>
          <w:marRight w:val="0"/>
          <w:marTop w:val="0"/>
          <w:marBottom w:val="0"/>
          <w:divBdr>
            <w:top w:val="none" w:sz="0" w:space="0" w:color="auto"/>
            <w:left w:val="none" w:sz="0" w:space="0" w:color="auto"/>
            <w:bottom w:val="none" w:sz="0" w:space="0" w:color="auto"/>
            <w:right w:val="none" w:sz="0" w:space="0" w:color="auto"/>
          </w:divBdr>
          <w:divsChild>
            <w:div w:id="1498039240">
              <w:marLeft w:val="0"/>
              <w:marRight w:val="0"/>
              <w:marTop w:val="0"/>
              <w:marBottom w:val="0"/>
              <w:divBdr>
                <w:top w:val="none" w:sz="0" w:space="0" w:color="auto"/>
                <w:left w:val="none" w:sz="0" w:space="0" w:color="auto"/>
                <w:bottom w:val="none" w:sz="0" w:space="0" w:color="auto"/>
                <w:right w:val="none" w:sz="0" w:space="0" w:color="auto"/>
              </w:divBdr>
            </w:div>
          </w:divsChild>
        </w:div>
        <w:div w:id="1422946927">
          <w:marLeft w:val="0"/>
          <w:marRight w:val="0"/>
          <w:marTop w:val="0"/>
          <w:marBottom w:val="0"/>
          <w:divBdr>
            <w:top w:val="none" w:sz="0" w:space="0" w:color="auto"/>
            <w:left w:val="none" w:sz="0" w:space="0" w:color="auto"/>
            <w:bottom w:val="none" w:sz="0" w:space="0" w:color="auto"/>
            <w:right w:val="none" w:sz="0" w:space="0" w:color="auto"/>
          </w:divBdr>
          <w:divsChild>
            <w:div w:id="1635136091">
              <w:marLeft w:val="0"/>
              <w:marRight w:val="0"/>
              <w:marTop w:val="0"/>
              <w:marBottom w:val="0"/>
              <w:divBdr>
                <w:top w:val="none" w:sz="0" w:space="0" w:color="auto"/>
                <w:left w:val="none" w:sz="0" w:space="0" w:color="auto"/>
                <w:bottom w:val="none" w:sz="0" w:space="0" w:color="auto"/>
                <w:right w:val="none" w:sz="0" w:space="0" w:color="auto"/>
              </w:divBdr>
            </w:div>
          </w:divsChild>
        </w:div>
        <w:div w:id="654147396">
          <w:marLeft w:val="0"/>
          <w:marRight w:val="0"/>
          <w:marTop w:val="0"/>
          <w:marBottom w:val="0"/>
          <w:divBdr>
            <w:top w:val="none" w:sz="0" w:space="0" w:color="auto"/>
            <w:left w:val="none" w:sz="0" w:space="0" w:color="auto"/>
            <w:bottom w:val="none" w:sz="0" w:space="0" w:color="auto"/>
            <w:right w:val="none" w:sz="0" w:space="0" w:color="auto"/>
          </w:divBdr>
          <w:divsChild>
            <w:div w:id="652955371">
              <w:marLeft w:val="0"/>
              <w:marRight w:val="0"/>
              <w:marTop w:val="0"/>
              <w:marBottom w:val="0"/>
              <w:divBdr>
                <w:top w:val="none" w:sz="0" w:space="0" w:color="auto"/>
                <w:left w:val="none" w:sz="0" w:space="0" w:color="auto"/>
                <w:bottom w:val="none" w:sz="0" w:space="0" w:color="auto"/>
                <w:right w:val="none" w:sz="0" w:space="0" w:color="auto"/>
              </w:divBdr>
            </w:div>
          </w:divsChild>
        </w:div>
        <w:div w:id="961110578">
          <w:marLeft w:val="0"/>
          <w:marRight w:val="0"/>
          <w:marTop w:val="0"/>
          <w:marBottom w:val="0"/>
          <w:divBdr>
            <w:top w:val="none" w:sz="0" w:space="0" w:color="auto"/>
            <w:left w:val="none" w:sz="0" w:space="0" w:color="auto"/>
            <w:bottom w:val="none" w:sz="0" w:space="0" w:color="auto"/>
            <w:right w:val="none" w:sz="0" w:space="0" w:color="auto"/>
          </w:divBdr>
          <w:divsChild>
            <w:div w:id="151340035">
              <w:marLeft w:val="0"/>
              <w:marRight w:val="0"/>
              <w:marTop w:val="0"/>
              <w:marBottom w:val="0"/>
              <w:divBdr>
                <w:top w:val="none" w:sz="0" w:space="0" w:color="auto"/>
                <w:left w:val="none" w:sz="0" w:space="0" w:color="auto"/>
                <w:bottom w:val="none" w:sz="0" w:space="0" w:color="auto"/>
                <w:right w:val="none" w:sz="0" w:space="0" w:color="auto"/>
              </w:divBdr>
            </w:div>
          </w:divsChild>
        </w:div>
        <w:div w:id="1357654272">
          <w:marLeft w:val="0"/>
          <w:marRight w:val="0"/>
          <w:marTop w:val="0"/>
          <w:marBottom w:val="0"/>
          <w:divBdr>
            <w:top w:val="none" w:sz="0" w:space="0" w:color="auto"/>
            <w:left w:val="none" w:sz="0" w:space="0" w:color="auto"/>
            <w:bottom w:val="none" w:sz="0" w:space="0" w:color="auto"/>
            <w:right w:val="none" w:sz="0" w:space="0" w:color="auto"/>
          </w:divBdr>
          <w:divsChild>
            <w:div w:id="895513740">
              <w:marLeft w:val="0"/>
              <w:marRight w:val="0"/>
              <w:marTop w:val="0"/>
              <w:marBottom w:val="0"/>
              <w:divBdr>
                <w:top w:val="none" w:sz="0" w:space="0" w:color="auto"/>
                <w:left w:val="none" w:sz="0" w:space="0" w:color="auto"/>
                <w:bottom w:val="none" w:sz="0" w:space="0" w:color="auto"/>
                <w:right w:val="none" w:sz="0" w:space="0" w:color="auto"/>
              </w:divBdr>
            </w:div>
          </w:divsChild>
        </w:div>
        <w:div w:id="2137601079">
          <w:marLeft w:val="0"/>
          <w:marRight w:val="0"/>
          <w:marTop w:val="0"/>
          <w:marBottom w:val="0"/>
          <w:divBdr>
            <w:top w:val="none" w:sz="0" w:space="0" w:color="auto"/>
            <w:left w:val="none" w:sz="0" w:space="0" w:color="auto"/>
            <w:bottom w:val="none" w:sz="0" w:space="0" w:color="auto"/>
            <w:right w:val="none" w:sz="0" w:space="0" w:color="auto"/>
          </w:divBdr>
          <w:divsChild>
            <w:div w:id="2116485804">
              <w:marLeft w:val="0"/>
              <w:marRight w:val="0"/>
              <w:marTop w:val="0"/>
              <w:marBottom w:val="0"/>
              <w:divBdr>
                <w:top w:val="none" w:sz="0" w:space="0" w:color="auto"/>
                <w:left w:val="none" w:sz="0" w:space="0" w:color="auto"/>
                <w:bottom w:val="none" w:sz="0" w:space="0" w:color="auto"/>
                <w:right w:val="none" w:sz="0" w:space="0" w:color="auto"/>
              </w:divBdr>
            </w:div>
          </w:divsChild>
        </w:div>
        <w:div w:id="436563795">
          <w:marLeft w:val="0"/>
          <w:marRight w:val="0"/>
          <w:marTop w:val="0"/>
          <w:marBottom w:val="0"/>
          <w:divBdr>
            <w:top w:val="none" w:sz="0" w:space="0" w:color="auto"/>
            <w:left w:val="none" w:sz="0" w:space="0" w:color="auto"/>
            <w:bottom w:val="none" w:sz="0" w:space="0" w:color="auto"/>
            <w:right w:val="none" w:sz="0" w:space="0" w:color="auto"/>
          </w:divBdr>
          <w:divsChild>
            <w:div w:id="971638732">
              <w:marLeft w:val="0"/>
              <w:marRight w:val="0"/>
              <w:marTop w:val="0"/>
              <w:marBottom w:val="0"/>
              <w:divBdr>
                <w:top w:val="none" w:sz="0" w:space="0" w:color="auto"/>
                <w:left w:val="none" w:sz="0" w:space="0" w:color="auto"/>
                <w:bottom w:val="none" w:sz="0" w:space="0" w:color="auto"/>
                <w:right w:val="none" w:sz="0" w:space="0" w:color="auto"/>
              </w:divBdr>
            </w:div>
          </w:divsChild>
        </w:div>
        <w:div w:id="376928323">
          <w:marLeft w:val="0"/>
          <w:marRight w:val="0"/>
          <w:marTop w:val="0"/>
          <w:marBottom w:val="0"/>
          <w:divBdr>
            <w:top w:val="none" w:sz="0" w:space="0" w:color="auto"/>
            <w:left w:val="none" w:sz="0" w:space="0" w:color="auto"/>
            <w:bottom w:val="none" w:sz="0" w:space="0" w:color="auto"/>
            <w:right w:val="none" w:sz="0" w:space="0" w:color="auto"/>
          </w:divBdr>
          <w:divsChild>
            <w:div w:id="1961715713">
              <w:marLeft w:val="0"/>
              <w:marRight w:val="0"/>
              <w:marTop w:val="0"/>
              <w:marBottom w:val="0"/>
              <w:divBdr>
                <w:top w:val="none" w:sz="0" w:space="0" w:color="auto"/>
                <w:left w:val="none" w:sz="0" w:space="0" w:color="auto"/>
                <w:bottom w:val="none" w:sz="0" w:space="0" w:color="auto"/>
                <w:right w:val="none" w:sz="0" w:space="0" w:color="auto"/>
              </w:divBdr>
            </w:div>
          </w:divsChild>
        </w:div>
        <w:div w:id="338773714">
          <w:marLeft w:val="0"/>
          <w:marRight w:val="0"/>
          <w:marTop w:val="0"/>
          <w:marBottom w:val="0"/>
          <w:divBdr>
            <w:top w:val="none" w:sz="0" w:space="0" w:color="auto"/>
            <w:left w:val="none" w:sz="0" w:space="0" w:color="auto"/>
            <w:bottom w:val="none" w:sz="0" w:space="0" w:color="auto"/>
            <w:right w:val="none" w:sz="0" w:space="0" w:color="auto"/>
          </w:divBdr>
          <w:divsChild>
            <w:div w:id="1102989571">
              <w:marLeft w:val="0"/>
              <w:marRight w:val="0"/>
              <w:marTop w:val="0"/>
              <w:marBottom w:val="0"/>
              <w:divBdr>
                <w:top w:val="none" w:sz="0" w:space="0" w:color="auto"/>
                <w:left w:val="none" w:sz="0" w:space="0" w:color="auto"/>
                <w:bottom w:val="none" w:sz="0" w:space="0" w:color="auto"/>
                <w:right w:val="none" w:sz="0" w:space="0" w:color="auto"/>
              </w:divBdr>
            </w:div>
          </w:divsChild>
        </w:div>
        <w:div w:id="302538878">
          <w:marLeft w:val="0"/>
          <w:marRight w:val="0"/>
          <w:marTop w:val="0"/>
          <w:marBottom w:val="0"/>
          <w:divBdr>
            <w:top w:val="none" w:sz="0" w:space="0" w:color="auto"/>
            <w:left w:val="none" w:sz="0" w:space="0" w:color="auto"/>
            <w:bottom w:val="none" w:sz="0" w:space="0" w:color="auto"/>
            <w:right w:val="none" w:sz="0" w:space="0" w:color="auto"/>
          </w:divBdr>
          <w:divsChild>
            <w:div w:id="862131368">
              <w:marLeft w:val="0"/>
              <w:marRight w:val="0"/>
              <w:marTop w:val="0"/>
              <w:marBottom w:val="0"/>
              <w:divBdr>
                <w:top w:val="none" w:sz="0" w:space="0" w:color="auto"/>
                <w:left w:val="none" w:sz="0" w:space="0" w:color="auto"/>
                <w:bottom w:val="none" w:sz="0" w:space="0" w:color="auto"/>
                <w:right w:val="none" w:sz="0" w:space="0" w:color="auto"/>
              </w:divBdr>
            </w:div>
          </w:divsChild>
        </w:div>
        <w:div w:id="1234660796">
          <w:marLeft w:val="0"/>
          <w:marRight w:val="0"/>
          <w:marTop w:val="0"/>
          <w:marBottom w:val="0"/>
          <w:divBdr>
            <w:top w:val="none" w:sz="0" w:space="0" w:color="auto"/>
            <w:left w:val="none" w:sz="0" w:space="0" w:color="auto"/>
            <w:bottom w:val="none" w:sz="0" w:space="0" w:color="auto"/>
            <w:right w:val="none" w:sz="0" w:space="0" w:color="auto"/>
          </w:divBdr>
          <w:divsChild>
            <w:div w:id="1903515466">
              <w:marLeft w:val="0"/>
              <w:marRight w:val="0"/>
              <w:marTop w:val="0"/>
              <w:marBottom w:val="0"/>
              <w:divBdr>
                <w:top w:val="none" w:sz="0" w:space="0" w:color="auto"/>
                <w:left w:val="none" w:sz="0" w:space="0" w:color="auto"/>
                <w:bottom w:val="none" w:sz="0" w:space="0" w:color="auto"/>
                <w:right w:val="none" w:sz="0" w:space="0" w:color="auto"/>
              </w:divBdr>
            </w:div>
          </w:divsChild>
        </w:div>
        <w:div w:id="664286765">
          <w:marLeft w:val="0"/>
          <w:marRight w:val="0"/>
          <w:marTop w:val="0"/>
          <w:marBottom w:val="0"/>
          <w:divBdr>
            <w:top w:val="none" w:sz="0" w:space="0" w:color="auto"/>
            <w:left w:val="none" w:sz="0" w:space="0" w:color="auto"/>
            <w:bottom w:val="none" w:sz="0" w:space="0" w:color="auto"/>
            <w:right w:val="none" w:sz="0" w:space="0" w:color="auto"/>
          </w:divBdr>
          <w:divsChild>
            <w:div w:id="1969044622">
              <w:marLeft w:val="0"/>
              <w:marRight w:val="0"/>
              <w:marTop w:val="0"/>
              <w:marBottom w:val="0"/>
              <w:divBdr>
                <w:top w:val="none" w:sz="0" w:space="0" w:color="auto"/>
                <w:left w:val="none" w:sz="0" w:space="0" w:color="auto"/>
                <w:bottom w:val="none" w:sz="0" w:space="0" w:color="auto"/>
                <w:right w:val="none" w:sz="0" w:space="0" w:color="auto"/>
              </w:divBdr>
            </w:div>
          </w:divsChild>
        </w:div>
        <w:div w:id="114837520">
          <w:marLeft w:val="0"/>
          <w:marRight w:val="0"/>
          <w:marTop w:val="0"/>
          <w:marBottom w:val="0"/>
          <w:divBdr>
            <w:top w:val="none" w:sz="0" w:space="0" w:color="auto"/>
            <w:left w:val="none" w:sz="0" w:space="0" w:color="auto"/>
            <w:bottom w:val="none" w:sz="0" w:space="0" w:color="auto"/>
            <w:right w:val="none" w:sz="0" w:space="0" w:color="auto"/>
          </w:divBdr>
          <w:divsChild>
            <w:div w:id="1997957661">
              <w:marLeft w:val="0"/>
              <w:marRight w:val="0"/>
              <w:marTop w:val="0"/>
              <w:marBottom w:val="0"/>
              <w:divBdr>
                <w:top w:val="none" w:sz="0" w:space="0" w:color="auto"/>
                <w:left w:val="none" w:sz="0" w:space="0" w:color="auto"/>
                <w:bottom w:val="none" w:sz="0" w:space="0" w:color="auto"/>
                <w:right w:val="none" w:sz="0" w:space="0" w:color="auto"/>
              </w:divBdr>
            </w:div>
          </w:divsChild>
        </w:div>
        <w:div w:id="1780442757">
          <w:marLeft w:val="0"/>
          <w:marRight w:val="0"/>
          <w:marTop w:val="0"/>
          <w:marBottom w:val="0"/>
          <w:divBdr>
            <w:top w:val="none" w:sz="0" w:space="0" w:color="auto"/>
            <w:left w:val="none" w:sz="0" w:space="0" w:color="auto"/>
            <w:bottom w:val="none" w:sz="0" w:space="0" w:color="auto"/>
            <w:right w:val="none" w:sz="0" w:space="0" w:color="auto"/>
          </w:divBdr>
          <w:divsChild>
            <w:div w:id="815149219">
              <w:marLeft w:val="0"/>
              <w:marRight w:val="0"/>
              <w:marTop w:val="0"/>
              <w:marBottom w:val="0"/>
              <w:divBdr>
                <w:top w:val="none" w:sz="0" w:space="0" w:color="auto"/>
                <w:left w:val="none" w:sz="0" w:space="0" w:color="auto"/>
                <w:bottom w:val="none" w:sz="0" w:space="0" w:color="auto"/>
                <w:right w:val="none" w:sz="0" w:space="0" w:color="auto"/>
              </w:divBdr>
            </w:div>
          </w:divsChild>
        </w:div>
        <w:div w:id="585380642">
          <w:marLeft w:val="0"/>
          <w:marRight w:val="0"/>
          <w:marTop w:val="0"/>
          <w:marBottom w:val="0"/>
          <w:divBdr>
            <w:top w:val="none" w:sz="0" w:space="0" w:color="auto"/>
            <w:left w:val="none" w:sz="0" w:space="0" w:color="auto"/>
            <w:bottom w:val="none" w:sz="0" w:space="0" w:color="auto"/>
            <w:right w:val="none" w:sz="0" w:space="0" w:color="auto"/>
          </w:divBdr>
          <w:divsChild>
            <w:div w:id="271666879">
              <w:marLeft w:val="0"/>
              <w:marRight w:val="0"/>
              <w:marTop w:val="0"/>
              <w:marBottom w:val="0"/>
              <w:divBdr>
                <w:top w:val="none" w:sz="0" w:space="0" w:color="auto"/>
                <w:left w:val="none" w:sz="0" w:space="0" w:color="auto"/>
                <w:bottom w:val="none" w:sz="0" w:space="0" w:color="auto"/>
                <w:right w:val="none" w:sz="0" w:space="0" w:color="auto"/>
              </w:divBdr>
            </w:div>
          </w:divsChild>
        </w:div>
        <w:div w:id="821041961">
          <w:marLeft w:val="0"/>
          <w:marRight w:val="0"/>
          <w:marTop w:val="0"/>
          <w:marBottom w:val="0"/>
          <w:divBdr>
            <w:top w:val="none" w:sz="0" w:space="0" w:color="auto"/>
            <w:left w:val="none" w:sz="0" w:space="0" w:color="auto"/>
            <w:bottom w:val="none" w:sz="0" w:space="0" w:color="auto"/>
            <w:right w:val="none" w:sz="0" w:space="0" w:color="auto"/>
          </w:divBdr>
          <w:divsChild>
            <w:div w:id="751199814">
              <w:marLeft w:val="0"/>
              <w:marRight w:val="0"/>
              <w:marTop w:val="0"/>
              <w:marBottom w:val="0"/>
              <w:divBdr>
                <w:top w:val="none" w:sz="0" w:space="0" w:color="auto"/>
                <w:left w:val="none" w:sz="0" w:space="0" w:color="auto"/>
                <w:bottom w:val="none" w:sz="0" w:space="0" w:color="auto"/>
                <w:right w:val="none" w:sz="0" w:space="0" w:color="auto"/>
              </w:divBdr>
            </w:div>
          </w:divsChild>
        </w:div>
        <w:div w:id="27264109">
          <w:marLeft w:val="0"/>
          <w:marRight w:val="0"/>
          <w:marTop w:val="0"/>
          <w:marBottom w:val="0"/>
          <w:divBdr>
            <w:top w:val="none" w:sz="0" w:space="0" w:color="auto"/>
            <w:left w:val="none" w:sz="0" w:space="0" w:color="auto"/>
            <w:bottom w:val="none" w:sz="0" w:space="0" w:color="auto"/>
            <w:right w:val="none" w:sz="0" w:space="0" w:color="auto"/>
          </w:divBdr>
          <w:divsChild>
            <w:div w:id="252127572">
              <w:marLeft w:val="0"/>
              <w:marRight w:val="0"/>
              <w:marTop w:val="0"/>
              <w:marBottom w:val="0"/>
              <w:divBdr>
                <w:top w:val="none" w:sz="0" w:space="0" w:color="auto"/>
                <w:left w:val="none" w:sz="0" w:space="0" w:color="auto"/>
                <w:bottom w:val="none" w:sz="0" w:space="0" w:color="auto"/>
                <w:right w:val="none" w:sz="0" w:space="0" w:color="auto"/>
              </w:divBdr>
            </w:div>
          </w:divsChild>
        </w:div>
        <w:div w:id="104429490">
          <w:marLeft w:val="0"/>
          <w:marRight w:val="0"/>
          <w:marTop w:val="0"/>
          <w:marBottom w:val="0"/>
          <w:divBdr>
            <w:top w:val="none" w:sz="0" w:space="0" w:color="auto"/>
            <w:left w:val="none" w:sz="0" w:space="0" w:color="auto"/>
            <w:bottom w:val="none" w:sz="0" w:space="0" w:color="auto"/>
            <w:right w:val="none" w:sz="0" w:space="0" w:color="auto"/>
          </w:divBdr>
          <w:divsChild>
            <w:div w:id="1272009350">
              <w:marLeft w:val="0"/>
              <w:marRight w:val="0"/>
              <w:marTop w:val="0"/>
              <w:marBottom w:val="0"/>
              <w:divBdr>
                <w:top w:val="none" w:sz="0" w:space="0" w:color="auto"/>
                <w:left w:val="none" w:sz="0" w:space="0" w:color="auto"/>
                <w:bottom w:val="none" w:sz="0" w:space="0" w:color="auto"/>
                <w:right w:val="none" w:sz="0" w:space="0" w:color="auto"/>
              </w:divBdr>
            </w:div>
          </w:divsChild>
        </w:div>
        <w:div w:id="831867997">
          <w:marLeft w:val="0"/>
          <w:marRight w:val="0"/>
          <w:marTop w:val="0"/>
          <w:marBottom w:val="0"/>
          <w:divBdr>
            <w:top w:val="none" w:sz="0" w:space="0" w:color="auto"/>
            <w:left w:val="none" w:sz="0" w:space="0" w:color="auto"/>
            <w:bottom w:val="none" w:sz="0" w:space="0" w:color="auto"/>
            <w:right w:val="none" w:sz="0" w:space="0" w:color="auto"/>
          </w:divBdr>
          <w:divsChild>
            <w:div w:id="375662202">
              <w:marLeft w:val="0"/>
              <w:marRight w:val="0"/>
              <w:marTop w:val="0"/>
              <w:marBottom w:val="0"/>
              <w:divBdr>
                <w:top w:val="none" w:sz="0" w:space="0" w:color="auto"/>
                <w:left w:val="none" w:sz="0" w:space="0" w:color="auto"/>
                <w:bottom w:val="none" w:sz="0" w:space="0" w:color="auto"/>
                <w:right w:val="none" w:sz="0" w:space="0" w:color="auto"/>
              </w:divBdr>
            </w:div>
          </w:divsChild>
        </w:div>
        <w:div w:id="1457522459">
          <w:marLeft w:val="0"/>
          <w:marRight w:val="0"/>
          <w:marTop w:val="0"/>
          <w:marBottom w:val="0"/>
          <w:divBdr>
            <w:top w:val="none" w:sz="0" w:space="0" w:color="auto"/>
            <w:left w:val="none" w:sz="0" w:space="0" w:color="auto"/>
            <w:bottom w:val="none" w:sz="0" w:space="0" w:color="auto"/>
            <w:right w:val="none" w:sz="0" w:space="0" w:color="auto"/>
          </w:divBdr>
          <w:divsChild>
            <w:div w:id="526716941">
              <w:marLeft w:val="0"/>
              <w:marRight w:val="0"/>
              <w:marTop w:val="0"/>
              <w:marBottom w:val="0"/>
              <w:divBdr>
                <w:top w:val="none" w:sz="0" w:space="0" w:color="auto"/>
                <w:left w:val="none" w:sz="0" w:space="0" w:color="auto"/>
                <w:bottom w:val="none" w:sz="0" w:space="0" w:color="auto"/>
                <w:right w:val="none" w:sz="0" w:space="0" w:color="auto"/>
              </w:divBdr>
            </w:div>
          </w:divsChild>
        </w:div>
        <w:div w:id="2036618641">
          <w:marLeft w:val="0"/>
          <w:marRight w:val="0"/>
          <w:marTop w:val="0"/>
          <w:marBottom w:val="0"/>
          <w:divBdr>
            <w:top w:val="none" w:sz="0" w:space="0" w:color="auto"/>
            <w:left w:val="none" w:sz="0" w:space="0" w:color="auto"/>
            <w:bottom w:val="none" w:sz="0" w:space="0" w:color="auto"/>
            <w:right w:val="none" w:sz="0" w:space="0" w:color="auto"/>
          </w:divBdr>
          <w:divsChild>
            <w:div w:id="228541448">
              <w:marLeft w:val="0"/>
              <w:marRight w:val="0"/>
              <w:marTop w:val="0"/>
              <w:marBottom w:val="0"/>
              <w:divBdr>
                <w:top w:val="none" w:sz="0" w:space="0" w:color="auto"/>
                <w:left w:val="none" w:sz="0" w:space="0" w:color="auto"/>
                <w:bottom w:val="none" w:sz="0" w:space="0" w:color="auto"/>
                <w:right w:val="none" w:sz="0" w:space="0" w:color="auto"/>
              </w:divBdr>
            </w:div>
          </w:divsChild>
        </w:div>
        <w:div w:id="1531845299">
          <w:marLeft w:val="0"/>
          <w:marRight w:val="0"/>
          <w:marTop w:val="0"/>
          <w:marBottom w:val="0"/>
          <w:divBdr>
            <w:top w:val="none" w:sz="0" w:space="0" w:color="auto"/>
            <w:left w:val="none" w:sz="0" w:space="0" w:color="auto"/>
            <w:bottom w:val="none" w:sz="0" w:space="0" w:color="auto"/>
            <w:right w:val="none" w:sz="0" w:space="0" w:color="auto"/>
          </w:divBdr>
          <w:divsChild>
            <w:div w:id="1447313088">
              <w:marLeft w:val="0"/>
              <w:marRight w:val="0"/>
              <w:marTop w:val="0"/>
              <w:marBottom w:val="0"/>
              <w:divBdr>
                <w:top w:val="none" w:sz="0" w:space="0" w:color="auto"/>
                <w:left w:val="none" w:sz="0" w:space="0" w:color="auto"/>
                <w:bottom w:val="none" w:sz="0" w:space="0" w:color="auto"/>
                <w:right w:val="none" w:sz="0" w:space="0" w:color="auto"/>
              </w:divBdr>
            </w:div>
          </w:divsChild>
        </w:div>
        <w:div w:id="1563757374">
          <w:marLeft w:val="0"/>
          <w:marRight w:val="0"/>
          <w:marTop w:val="0"/>
          <w:marBottom w:val="0"/>
          <w:divBdr>
            <w:top w:val="none" w:sz="0" w:space="0" w:color="auto"/>
            <w:left w:val="none" w:sz="0" w:space="0" w:color="auto"/>
            <w:bottom w:val="none" w:sz="0" w:space="0" w:color="auto"/>
            <w:right w:val="none" w:sz="0" w:space="0" w:color="auto"/>
          </w:divBdr>
          <w:divsChild>
            <w:div w:id="1337464836">
              <w:marLeft w:val="0"/>
              <w:marRight w:val="0"/>
              <w:marTop w:val="0"/>
              <w:marBottom w:val="0"/>
              <w:divBdr>
                <w:top w:val="none" w:sz="0" w:space="0" w:color="auto"/>
                <w:left w:val="none" w:sz="0" w:space="0" w:color="auto"/>
                <w:bottom w:val="none" w:sz="0" w:space="0" w:color="auto"/>
                <w:right w:val="none" w:sz="0" w:space="0" w:color="auto"/>
              </w:divBdr>
            </w:div>
          </w:divsChild>
        </w:div>
        <w:div w:id="1072196970">
          <w:marLeft w:val="0"/>
          <w:marRight w:val="0"/>
          <w:marTop w:val="0"/>
          <w:marBottom w:val="0"/>
          <w:divBdr>
            <w:top w:val="none" w:sz="0" w:space="0" w:color="auto"/>
            <w:left w:val="none" w:sz="0" w:space="0" w:color="auto"/>
            <w:bottom w:val="none" w:sz="0" w:space="0" w:color="auto"/>
            <w:right w:val="none" w:sz="0" w:space="0" w:color="auto"/>
          </w:divBdr>
          <w:divsChild>
            <w:div w:id="1644700609">
              <w:marLeft w:val="0"/>
              <w:marRight w:val="0"/>
              <w:marTop w:val="0"/>
              <w:marBottom w:val="0"/>
              <w:divBdr>
                <w:top w:val="none" w:sz="0" w:space="0" w:color="auto"/>
                <w:left w:val="none" w:sz="0" w:space="0" w:color="auto"/>
                <w:bottom w:val="none" w:sz="0" w:space="0" w:color="auto"/>
                <w:right w:val="none" w:sz="0" w:space="0" w:color="auto"/>
              </w:divBdr>
            </w:div>
          </w:divsChild>
        </w:div>
        <w:div w:id="2100325340">
          <w:marLeft w:val="0"/>
          <w:marRight w:val="0"/>
          <w:marTop w:val="0"/>
          <w:marBottom w:val="0"/>
          <w:divBdr>
            <w:top w:val="none" w:sz="0" w:space="0" w:color="auto"/>
            <w:left w:val="none" w:sz="0" w:space="0" w:color="auto"/>
            <w:bottom w:val="none" w:sz="0" w:space="0" w:color="auto"/>
            <w:right w:val="none" w:sz="0" w:space="0" w:color="auto"/>
          </w:divBdr>
          <w:divsChild>
            <w:div w:id="462574865">
              <w:marLeft w:val="0"/>
              <w:marRight w:val="0"/>
              <w:marTop w:val="0"/>
              <w:marBottom w:val="0"/>
              <w:divBdr>
                <w:top w:val="none" w:sz="0" w:space="0" w:color="auto"/>
                <w:left w:val="none" w:sz="0" w:space="0" w:color="auto"/>
                <w:bottom w:val="none" w:sz="0" w:space="0" w:color="auto"/>
                <w:right w:val="none" w:sz="0" w:space="0" w:color="auto"/>
              </w:divBdr>
            </w:div>
          </w:divsChild>
        </w:div>
        <w:div w:id="182280581">
          <w:marLeft w:val="0"/>
          <w:marRight w:val="0"/>
          <w:marTop w:val="0"/>
          <w:marBottom w:val="0"/>
          <w:divBdr>
            <w:top w:val="none" w:sz="0" w:space="0" w:color="auto"/>
            <w:left w:val="none" w:sz="0" w:space="0" w:color="auto"/>
            <w:bottom w:val="none" w:sz="0" w:space="0" w:color="auto"/>
            <w:right w:val="none" w:sz="0" w:space="0" w:color="auto"/>
          </w:divBdr>
          <w:divsChild>
            <w:div w:id="1882748146">
              <w:marLeft w:val="0"/>
              <w:marRight w:val="0"/>
              <w:marTop w:val="0"/>
              <w:marBottom w:val="0"/>
              <w:divBdr>
                <w:top w:val="none" w:sz="0" w:space="0" w:color="auto"/>
                <w:left w:val="none" w:sz="0" w:space="0" w:color="auto"/>
                <w:bottom w:val="none" w:sz="0" w:space="0" w:color="auto"/>
                <w:right w:val="none" w:sz="0" w:space="0" w:color="auto"/>
              </w:divBdr>
            </w:div>
          </w:divsChild>
        </w:div>
        <w:div w:id="1152024053">
          <w:marLeft w:val="0"/>
          <w:marRight w:val="0"/>
          <w:marTop w:val="0"/>
          <w:marBottom w:val="0"/>
          <w:divBdr>
            <w:top w:val="none" w:sz="0" w:space="0" w:color="auto"/>
            <w:left w:val="none" w:sz="0" w:space="0" w:color="auto"/>
            <w:bottom w:val="none" w:sz="0" w:space="0" w:color="auto"/>
            <w:right w:val="none" w:sz="0" w:space="0" w:color="auto"/>
          </w:divBdr>
          <w:divsChild>
            <w:div w:id="1259294527">
              <w:marLeft w:val="0"/>
              <w:marRight w:val="0"/>
              <w:marTop w:val="0"/>
              <w:marBottom w:val="0"/>
              <w:divBdr>
                <w:top w:val="none" w:sz="0" w:space="0" w:color="auto"/>
                <w:left w:val="none" w:sz="0" w:space="0" w:color="auto"/>
                <w:bottom w:val="none" w:sz="0" w:space="0" w:color="auto"/>
                <w:right w:val="none" w:sz="0" w:space="0" w:color="auto"/>
              </w:divBdr>
            </w:div>
          </w:divsChild>
        </w:div>
        <w:div w:id="2035499162">
          <w:marLeft w:val="0"/>
          <w:marRight w:val="0"/>
          <w:marTop w:val="0"/>
          <w:marBottom w:val="0"/>
          <w:divBdr>
            <w:top w:val="none" w:sz="0" w:space="0" w:color="auto"/>
            <w:left w:val="none" w:sz="0" w:space="0" w:color="auto"/>
            <w:bottom w:val="none" w:sz="0" w:space="0" w:color="auto"/>
            <w:right w:val="none" w:sz="0" w:space="0" w:color="auto"/>
          </w:divBdr>
          <w:divsChild>
            <w:div w:id="1336617309">
              <w:marLeft w:val="0"/>
              <w:marRight w:val="0"/>
              <w:marTop w:val="0"/>
              <w:marBottom w:val="0"/>
              <w:divBdr>
                <w:top w:val="none" w:sz="0" w:space="0" w:color="auto"/>
                <w:left w:val="none" w:sz="0" w:space="0" w:color="auto"/>
                <w:bottom w:val="none" w:sz="0" w:space="0" w:color="auto"/>
                <w:right w:val="none" w:sz="0" w:space="0" w:color="auto"/>
              </w:divBdr>
            </w:div>
          </w:divsChild>
        </w:div>
        <w:div w:id="1973097872">
          <w:marLeft w:val="0"/>
          <w:marRight w:val="0"/>
          <w:marTop w:val="0"/>
          <w:marBottom w:val="0"/>
          <w:divBdr>
            <w:top w:val="none" w:sz="0" w:space="0" w:color="auto"/>
            <w:left w:val="none" w:sz="0" w:space="0" w:color="auto"/>
            <w:bottom w:val="none" w:sz="0" w:space="0" w:color="auto"/>
            <w:right w:val="none" w:sz="0" w:space="0" w:color="auto"/>
          </w:divBdr>
          <w:divsChild>
            <w:div w:id="2118210829">
              <w:marLeft w:val="0"/>
              <w:marRight w:val="0"/>
              <w:marTop w:val="0"/>
              <w:marBottom w:val="0"/>
              <w:divBdr>
                <w:top w:val="none" w:sz="0" w:space="0" w:color="auto"/>
                <w:left w:val="none" w:sz="0" w:space="0" w:color="auto"/>
                <w:bottom w:val="none" w:sz="0" w:space="0" w:color="auto"/>
                <w:right w:val="none" w:sz="0" w:space="0" w:color="auto"/>
              </w:divBdr>
            </w:div>
          </w:divsChild>
        </w:div>
        <w:div w:id="1453597023">
          <w:marLeft w:val="0"/>
          <w:marRight w:val="0"/>
          <w:marTop w:val="0"/>
          <w:marBottom w:val="0"/>
          <w:divBdr>
            <w:top w:val="none" w:sz="0" w:space="0" w:color="auto"/>
            <w:left w:val="none" w:sz="0" w:space="0" w:color="auto"/>
            <w:bottom w:val="none" w:sz="0" w:space="0" w:color="auto"/>
            <w:right w:val="none" w:sz="0" w:space="0" w:color="auto"/>
          </w:divBdr>
          <w:divsChild>
            <w:div w:id="1028722047">
              <w:marLeft w:val="0"/>
              <w:marRight w:val="0"/>
              <w:marTop w:val="0"/>
              <w:marBottom w:val="0"/>
              <w:divBdr>
                <w:top w:val="none" w:sz="0" w:space="0" w:color="auto"/>
                <w:left w:val="none" w:sz="0" w:space="0" w:color="auto"/>
                <w:bottom w:val="none" w:sz="0" w:space="0" w:color="auto"/>
                <w:right w:val="none" w:sz="0" w:space="0" w:color="auto"/>
              </w:divBdr>
            </w:div>
          </w:divsChild>
        </w:div>
        <w:div w:id="355622683">
          <w:marLeft w:val="0"/>
          <w:marRight w:val="0"/>
          <w:marTop w:val="0"/>
          <w:marBottom w:val="0"/>
          <w:divBdr>
            <w:top w:val="none" w:sz="0" w:space="0" w:color="auto"/>
            <w:left w:val="none" w:sz="0" w:space="0" w:color="auto"/>
            <w:bottom w:val="none" w:sz="0" w:space="0" w:color="auto"/>
            <w:right w:val="none" w:sz="0" w:space="0" w:color="auto"/>
          </w:divBdr>
          <w:divsChild>
            <w:div w:id="135649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5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ha.org/practice-portal/clinical-topics/autism/" TargetMode="External"/><Relationship Id="rId3" Type="http://schemas.openxmlformats.org/officeDocument/2006/relationships/settings" Target="settings.xml"/><Relationship Id="rId7" Type="http://schemas.openxmlformats.org/officeDocument/2006/relationships/hyperlink" Target="https://www.nice.org.uk/guidance/cg14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ce.org.uk/guidance/cg170" TargetMode="External"/><Relationship Id="rId11" Type="http://schemas.openxmlformats.org/officeDocument/2006/relationships/fontTable" Target="fontTable.xml"/><Relationship Id="rId5" Type="http://schemas.openxmlformats.org/officeDocument/2006/relationships/hyperlink" Target="https://ncaep.fpg.unc.edu/" TargetMode="External"/><Relationship Id="rId10" Type="http://schemas.openxmlformats.org/officeDocument/2006/relationships/hyperlink" Target="https://www.who.int/teams/mental-health-and-substance-use/treatment-care/caregiver-skills-training-for-families-of-children-with-developmental-delays-or-disabilities" TargetMode="External"/><Relationship Id="rId4" Type="http://schemas.openxmlformats.org/officeDocument/2006/relationships/webSettings" Target="webSettings.xml"/><Relationship Id="rId9" Type="http://schemas.openxmlformats.org/officeDocument/2006/relationships/hyperlink" Target="https://www.asha.org/practice-portal/professional-issues/augmentative-and-alternative-communication/"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43440</Words>
  <Characters>24762</Characters>
  <Application>Microsoft Office Word</Application>
  <DocSecurity>0</DocSecurity>
  <Lines>206</Lines>
  <Paragraphs>136</Paragraphs>
  <ScaleCrop>false</ScaleCrop>
  <Company/>
  <LinksUpToDate>false</LinksUpToDate>
  <CharactersWithSpaces>68066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Соха</dc:creator>
  <cp:keywords/>
  <dc:description/>
  <cp:lastModifiedBy>Наталия Соха</cp:lastModifiedBy>
  <cp:revision>1</cp:revision>
  <dcterms:created xsi:type="dcterms:W3CDTF">2026-10-13T05:26:00Z</dcterms:created>
  <dcterms:modified xsi:type="dcterms:W3CDTF">2026-10-13T05:31:00Z</dcterms:modified>
</cp:coreProperties>
</file>