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F7" w:rsidRPr="003A1EF7" w:rsidRDefault="003A1EF7" w:rsidP="003A1EF7">
      <w:pPr>
        <w:jc w:val="center"/>
        <w:rPr>
          <w:b/>
          <w:sz w:val="28"/>
          <w:szCs w:val="28"/>
        </w:rPr>
      </w:pPr>
      <w:bookmarkStart w:id="0" w:name="_GoBack"/>
      <w:r w:rsidRPr="003A1EF7">
        <w:rPr>
          <w:b/>
          <w:sz w:val="28"/>
          <w:szCs w:val="28"/>
        </w:rPr>
        <w:t>Змістовий модуль 2. Роль ведучого в інформаційних програмах</w:t>
      </w:r>
    </w:p>
    <w:p w:rsidR="003A1EF7" w:rsidRPr="003A1EF7" w:rsidRDefault="003A1EF7" w:rsidP="003A1EF7">
      <w:pPr>
        <w:jc w:val="both"/>
        <w:rPr>
          <w:b/>
          <w:sz w:val="28"/>
          <w:szCs w:val="28"/>
        </w:rPr>
      </w:pPr>
      <w:r w:rsidRPr="003A1EF7">
        <w:rPr>
          <w:b/>
          <w:sz w:val="28"/>
          <w:szCs w:val="28"/>
        </w:rPr>
        <w:t>Тема 3. Ведучий інформаційних програм</w:t>
      </w:r>
    </w:p>
    <w:p w:rsidR="003A1EF7" w:rsidRPr="003A1EF7" w:rsidRDefault="003A1EF7" w:rsidP="003A1EF7">
      <w:pPr>
        <w:tabs>
          <w:tab w:val="left" w:pos="360"/>
        </w:tabs>
        <w:suppressAutoHyphens w:val="0"/>
        <w:jc w:val="both"/>
        <w:rPr>
          <w:sz w:val="28"/>
          <w:szCs w:val="28"/>
        </w:rPr>
      </w:pPr>
      <w:r w:rsidRPr="003A1EF7">
        <w:rPr>
          <w:sz w:val="28"/>
          <w:szCs w:val="28"/>
        </w:rPr>
        <w:t>Вітчизняні та західні моделі роботи ведучих інформаційних програм. Дуалістична модель ведучих у студії. Складність запису підводок із фрагментами іншомовних текстів.</w:t>
      </w:r>
    </w:p>
    <w:p w:rsidR="003A1EF7" w:rsidRPr="003A1EF7" w:rsidRDefault="003A1EF7" w:rsidP="003A1EF7">
      <w:pPr>
        <w:tabs>
          <w:tab w:val="left" w:pos="360"/>
        </w:tabs>
        <w:jc w:val="both"/>
        <w:rPr>
          <w:b/>
          <w:sz w:val="28"/>
          <w:szCs w:val="28"/>
        </w:rPr>
      </w:pPr>
      <w:r w:rsidRPr="003A1EF7">
        <w:rPr>
          <w:b/>
          <w:sz w:val="28"/>
          <w:szCs w:val="28"/>
        </w:rPr>
        <w:t>Тема 4. Інтерв’ю у студії. Роль та обов’язки ведучого</w:t>
      </w:r>
    </w:p>
    <w:p w:rsidR="003A1EF7" w:rsidRPr="003A1EF7" w:rsidRDefault="003A1EF7" w:rsidP="003A1EF7">
      <w:pPr>
        <w:tabs>
          <w:tab w:val="left" w:pos="360"/>
        </w:tabs>
        <w:suppressAutoHyphens w:val="0"/>
        <w:jc w:val="both"/>
        <w:rPr>
          <w:sz w:val="28"/>
          <w:szCs w:val="28"/>
        </w:rPr>
      </w:pPr>
      <w:r w:rsidRPr="003A1EF7">
        <w:rPr>
          <w:sz w:val="28"/>
          <w:szCs w:val="28"/>
        </w:rPr>
        <w:t>Причини організації інтерв’ю у студії. Типові помилки ведучого у роботі із запрошеними гостями. Основні моменти організації інтерв’ю у студії у рамках: щоденної інформаційної програми, підсумкового випуску новин за тиждень, ток-шоу, талант-шоу.</w:t>
      </w:r>
    </w:p>
    <w:bookmarkEnd w:id="0"/>
    <w:p w:rsidR="00F12C76" w:rsidRPr="003A1EF7" w:rsidRDefault="00F12C76" w:rsidP="006C0B77">
      <w:pPr>
        <w:ind w:firstLine="709"/>
        <w:jc w:val="both"/>
        <w:rPr>
          <w:sz w:val="28"/>
          <w:szCs w:val="28"/>
        </w:rPr>
      </w:pPr>
    </w:p>
    <w:sectPr w:rsidR="00F12C76" w:rsidRPr="003A1EF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B7"/>
    <w:rsid w:val="003A1EF7"/>
    <w:rsid w:val="006C0B77"/>
    <w:rsid w:val="008242FF"/>
    <w:rsid w:val="00870751"/>
    <w:rsid w:val="00922C48"/>
    <w:rsid w:val="00B915B7"/>
    <w:rsid w:val="00EA59DF"/>
    <w:rsid w:val="00EE4070"/>
    <w:rsid w:val="00F12C76"/>
    <w:rsid w:val="00F7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13EB2-45A5-4C3B-A7B9-0DC7E0EE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EF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2021-01-15T14:54:00Z</dcterms:created>
  <dcterms:modified xsi:type="dcterms:W3CDTF">2021-01-15T14:54:00Z</dcterms:modified>
</cp:coreProperties>
</file>