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96" w:rsidRPr="00EF4B96" w:rsidRDefault="00EF4B96" w:rsidP="00EF4B96">
      <w:pPr>
        <w:spacing w:after="0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r>
        <w:rPr>
          <w:rFonts w:ascii="Open Sans" w:eastAsia="Times New Roman" w:hAnsi="Open Sans" w:cs="Arial"/>
          <w:noProof/>
          <w:color w:val="000000"/>
          <w:sz w:val="27"/>
          <w:szCs w:val="27"/>
        </w:rPr>
        <w:drawing>
          <wp:inline distT="0" distB="0" distL="0" distR="0">
            <wp:extent cx="4551045" cy="4614545"/>
            <wp:effectExtent l="19050" t="0" r="1905" b="0"/>
            <wp:docPr id="1" name="Рисунок 1" descr="https://lifeimg.pravda.com/images/doc/3/4/34266e6-sch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feimg.pravda.com/images/doc/3/4/34266e6-schu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46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B96" w:rsidRDefault="00EF4B96" w:rsidP="00EF4B96">
      <w:pPr>
        <w:spacing w:line="240" w:lineRule="auto"/>
        <w:rPr>
          <w:rFonts w:ascii="Open Sans" w:eastAsia="Times New Roman" w:hAnsi="Open Sans" w:cs="Arial"/>
          <w:color w:val="000000"/>
          <w:sz w:val="27"/>
          <w:szCs w:val="27"/>
          <w:lang w:val="uk-UA"/>
        </w:rPr>
      </w:pPr>
      <w:hyperlink r:id="rId5" w:history="1">
        <w:r w:rsidRPr="00B52CDD">
          <w:rPr>
            <w:rStyle w:val="a3"/>
            <w:rFonts w:ascii="Open Sans" w:eastAsia="Times New Roman" w:hAnsi="Open Sans" w:cs="Arial"/>
            <w:sz w:val="27"/>
            <w:szCs w:val="27"/>
            <w:lang w:val="uk-UA"/>
          </w:rPr>
          <w:t>http://life.pravda.com.ua/culture/2016/11/24/220522/</w:t>
        </w:r>
      </w:hyperlink>
    </w:p>
    <w:p w:rsidR="00EF4B96" w:rsidRPr="00EF4B96" w:rsidRDefault="00EF4B96" w:rsidP="00EF4B96">
      <w:pPr>
        <w:spacing w:line="240" w:lineRule="auto"/>
        <w:rPr>
          <w:rFonts w:ascii="Open Sans" w:eastAsia="Times New Roman" w:hAnsi="Open Sans" w:cs="Arial"/>
          <w:color w:val="000000"/>
          <w:sz w:val="27"/>
          <w:szCs w:val="27"/>
          <w:lang w:val="uk-UA"/>
        </w:rPr>
      </w:pPr>
      <w:r>
        <w:rPr>
          <w:rFonts w:ascii="Open Sans" w:eastAsia="Times New Roman" w:hAnsi="Open Sans" w:cs="Arial"/>
          <w:color w:val="000000"/>
          <w:sz w:val="27"/>
          <w:szCs w:val="27"/>
          <w:lang w:val="uk-UA"/>
        </w:rPr>
        <w:t>Оксана Щур</w:t>
      </w:r>
    </w:p>
    <w:p w:rsidR="00EF4B96" w:rsidRPr="00EF4B96" w:rsidRDefault="00EF4B96" w:rsidP="00EF4B96">
      <w:pPr>
        <w:spacing w:after="0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r w:rsidRPr="00EF4B96">
        <w:rPr>
          <w:rFonts w:ascii="Open Sans" w:eastAsia="Times New Roman" w:hAnsi="Open Sans" w:cs="Arial"/>
          <w:color w:val="363636"/>
          <w:sz w:val="27"/>
        </w:rPr>
        <w:t>24 листопада 2016</w:t>
      </w: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</w:p>
    <w:p w:rsidR="00EF4B96" w:rsidRPr="00EF4B96" w:rsidRDefault="00EF4B96" w:rsidP="00EF4B96">
      <w:pPr>
        <w:spacing w:after="167" w:line="240" w:lineRule="auto"/>
        <w:jc w:val="center"/>
        <w:rPr>
          <w:rFonts w:ascii="Open Sans" w:eastAsia="Times New Roman" w:hAnsi="Open Sans" w:cs="Arial"/>
          <w:b/>
          <w:i/>
          <w:iCs/>
          <w:color w:val="000000"/>
          <w:sz w:val="27"/>
          <w:u w:val="single"/>
          <w:lang w:val="uk-UA"/>
        </w:rPr>
      </w:pPr>
      <w:proofErr w:type="spellStart"/>
      <w:r w:rsidRPr="00EF4B96">
        <w:rPr>
          <w:rFonts w:ascii="Open Sans" w:eastAsia="Times New Roman" w:hAnsi="Open Sans" w:cs="Arial"/>
          <w:b/>
          <w:i/>
          <w:iCs/>
          <w:color w:val="000000"/>
          <w:sz w:val="27"/>
          <w:u w:val="single"/>
          <w:lang w:val="uk-UA"/>
        </w:rPr>
        <w:t>Пять</w:t>
      </w:r>
      <w:proofErr w:type="spellEnd"/>
      <w:r w:rsidRPr="00EF4B96">
        <w:rPr>
          <w:rFonts w:ascii="Open Sans" w:eastAsia="Times New Roman" w:hAnsi="Open Sans" w:cs="Arial"/>
          <w:b/>
          <w:i/>
          <w:iCs/>
          <w:color w:val="000000"/>
          <w:sz w:val="27"/>
          <w:u w:val="single"/>
          <w:lang w:val="uk-UA"/>
        </w:rPr>
        <w:t xml:space="preserve"> найпомітніших літературних премій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Наближається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кінець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року –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традиційний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час для </w:t>
      </w:r>
      <w:proofErr w:type="spellStart"/>
      <w:proofErr w:type="gram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п</w:t>
      </w:r>
      <w:proofErr w:type="gram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ідбиття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підсумків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Попри те,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що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у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видавців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книжковий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proofErr w:type="gram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р</w:t>
      </w:r>
      <w:proofErr w:type="gram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ік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насправді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розпочинається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у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вересні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разом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із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львівським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Форумом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видавців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найактивнішим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для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вручення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помітних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письменницьких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нагород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періодом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усе ж таки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є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зима.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proofErr w:type="gram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Ц</w:t>
      </w:r>
      <w:proofErr w:type="gram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і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"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проміжні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"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підсумки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приховують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щонайменше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одну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небезпеку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: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зовсім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не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кожна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книжка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звучить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у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медіапросторі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так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довго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щоб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розминувшись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із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дедлайном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номінування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на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певну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відзнаку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, "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дожити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" до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наступного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року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з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рівноцінною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підтримкою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читачів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та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критиків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Лонгселерів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у нас не так уже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й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багато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, а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поодинокі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за </w:t>
      </w:r>
      <w:proofErr w:type="spellStart"/>
      <w:proofErr w:type="gram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р</w:t>
      </w:r>
      <w:proofErr w:type="gram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ік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переходять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із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полички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топ-продажів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до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категорії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класики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укрсучліту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УП</w:t>
      </w:r>
      <w:proofErr w:type="gram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.К</w:t>
      </w:r>
      <w:proofErr w:type="gram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ультура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зібрала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п’ятірку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гучних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літературних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премій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, за результатами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яких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варто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стежити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.</w:t>
      </w:r>
    </w:p>
    <w:p w:rsidR="00EF4B96" w:rsidRPr="00EF4B96" w:rsidRDefault="00EF4B96" w:rsidP="00EF4B96">
      <w:pPr>
        <w:spacing w:after="167" w:line="240" w:lineRule="auto"/>
        <w:jc w:val="center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Відзнака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Форуму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видавці</w:t>
      </w:r>
      <w:proofErr w:type="gram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в</w:t>
      </w:r>
      <w:proofErr w:type="spellEnd"/>
      <w:proofErr w:type="gramEnd"/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Це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перша </w:t>
      </w:r>
      <w:proofErr w:type="spellStart"/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прем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книжкового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року, початком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якого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видавці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традиційно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вважають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вересень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.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Щоразу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список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відзначених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книжок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досить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довгий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як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перелі</w:t>
      </w:r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</w:t>
      </w:r>
      <w:proofErr w:type="spellEnd"/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членів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журі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Найбільш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актуальною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ця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нагорода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є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протягом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кількох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днів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львівського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ярмарку,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адже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її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отримання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автоматично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означає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потужну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додаткову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промоцію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отже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продажі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tbl>
      <w:tblPr>
        <w:tblW w:w="10047" w:type="dxa"/>
        <w:jc w:val="center"/>
        <w:tblCellMar>
          <w:left w:w="0" w:type="dxa"/>
          <w:right w:w="0" w:type="dxa"/>
        </w:tblCellMar>
        <w:tblLook w:val="04A0"/>
      </w:tblPr>
      <w:tblGrid>
        <w:gridCol w:w="10047"/>
      </w:tblGrid>
      <w:tr w:rsidR="00EF4B96" w:rsidRPr="00EF4B96" w:rsidTr="00EF4B9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4B96" w:rsidRPr="00EF4B96" w:rsidRDefault="00EF4B96" w:rsidP="00EF4B9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</w:rPr>
            </w:pPr>
            <w:r>
              <w:rPr>
                <w:rFonts w:ascii="Open Sans" w:eastAsia="Times New Roman" w:hAnsi="Open Sans" w:cs="Times New Roman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>
                  <wp:extent cx="5709920" cy="3529965"/>
                  <wp:effectExtent l="19050" t="0" r="5080" b="0"/>
                  <wp:docPr id="3" name="Рисунок 3" descr="http://life.pravda.com.ua/images/doc/d/9/d9abf9f-for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fe.pravda.com.ua/images/doc/d/9/d9abf9f-for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352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B96" w:rsidRPr="00EF4B96" w:rsidTr="00EF4B9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4B96" w:rsidRPr="00EF4B96" w:rsidRDefault="00EF4B96" w:rsidP="00EF4B96">
            <w:pPr>
              <w:spacing w:before="251" w:after="251" w:line="240" w:lineRule="auto"/>
              <w:jc w:val="center"/>
              <w:rPr>
                <w:rFonts w:ascii="Open Sans" w:eastAsia="Times New Roman" w:hAnsi="Open Sans" w:cs="Times New Roman"/>
                <w:i/>
                <w:iCs/>
                <w:color w:val="9B9B9B"/>
                <w:sz w:val="23"/>
                <w:szCs w:val="23"/>
              </w:rPr>
            </w:pPr>
            <w:r w:rsidRPr="00EF4B96">
              <w:rPr>
                <w:rFonts w:ascii="Open Sans" w:eastAsia="Times New Roman" w:hAnsi="Open Sans" w:cs="Times New Roman"/>
                <w:i/>
                <w:iCs/>
                <w:color w:val="9B9B9B"/>
                <w:sz w:val="23"/>
                <w:szCs w:val="23"/>
              </w:rPr>
              <w:t> </w:t>
            </w:r>
          </w:p>
        </w:tc>
      </w:tr>
    </w:tbl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І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хоча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щоразу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представники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вузького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фахового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кола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критикують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то принцип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нагородження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то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лауреатів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авторитет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Премії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Найкраща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книга Форуму"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залишається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безсумнівним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для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покупців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які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ходять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між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ятками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видавців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із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роздруківками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переліку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фіналі</w:t>
      </w:r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ст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. Для них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це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навігатор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морі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новинок.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Дата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нагородження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:</w:t>
      </w: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вересень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Цьогорічні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лауреати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: </w:t>
      </w:r>
      <w:proofErr w:type="spellStart"/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Гран-прі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– 2016 не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отримав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ніхто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натомість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найбільшу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кількість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відзнак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у рамках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направду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довгого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переліку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переможців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отримав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комплект книг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картами </w:t>
      </w:r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Павла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Ґранкіна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Каналізація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міста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Львова (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початку XV ст. до 1939 р.)"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Христини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Харчук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Водогін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міста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Львова (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початку XV ст. до 1939 р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.)".</w:t>
      </w:r>
    </w:p>
    <w:p w:rsidR="00EF4B96" w:rsidRPr="00EF4B96" w:rsidRDefault="00EF4B96" w:rsidP="00EF4B96">
      <w:pPr>
        <w:spacing w:after="167" w:line="240" w:lineRule="auto"/>
        <w:jc w:val="center"/>
        <w:rPr>
          <w:rFonts w:ascii="Open Sans" w:eastAsia="Times New Roman" w:hAnsi="Open Sans" w:cs="Arial"/>
          <w:color w:val="000000"/>
          <w:sz w:val="27"/>
          <w:szCs w:val="27"/>
        </w:rPr>
      </w:pPr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Книга року BBC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Наймедійніша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книжкова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українська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премія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яка,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фактично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пережила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усіх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конкуренті</w:t>
      </w:r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</w:t>
      </w:r>
      <w:proofErr w:type="spellEnd"/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Потужний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іар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у ЗМІ,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який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сягає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широких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верств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населення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неодмінна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участь Посла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Великобританії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церемонії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нагородження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віднедавна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–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ще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партнерство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культурною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програмою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ЄБРР,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емоційні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обговорення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лауреатів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відомі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персони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складі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журі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алкототалізатор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(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премія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глядацьких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симпатій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зініційована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творчим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середовищем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) – усе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це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сприяє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резонансу.</w:t>
      </w:r>
    </w:p>
    <w:tbl>
      <w:tblPr>
        <w:tblW w:w="10047" w:type="dxa"/>
        <w:jc w:val="center"/>
        <w:tblCellMar>
          <w:left w:w="0" w:type="dxa"/>
          <w:right w:w="0" w:type="dxa"/>
        </w:tblCellMar>
        <w:tblLook w:val="04A0"/>
      </w:tblPr>
      <w:tblGrid>
        <w:gridCol w:w="10047"/>
      </w:tblGrid>
      <w:tr w:rsidR="00EF4B96" w:rsidRPr="00EF4B96" w:rsidTr="00EF4B9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4B96" w:rsidRPr="00EF4B96" w:rsidRDefault="00EF4B96" w:rsidP="00EF4B9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</w:rPr>
            </w:pPr>
            <w:r>
              <w:rPr>
                <w:rFonts w:ascii="Open Sans" w:eastAsia="Times New Roman" w:hAnsi="Open Sans" w:cs="Times New Roman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>
                  <wp:extent cx="5709920" cy="3529965"/>
                  <wp:effectExtent l="19050" t="0" r="5080" b="0"/>
                  <wp:docPr id="4" name="Рисунок 4" descr="http://life.pravda.com.ua/images/doc/e/5/e5b9a60-b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fe.pravda.com.ua/images/doc/e/5/e5b9a60-b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352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B96" w:rsidRPr="00EF4B96" w:rsidTr="00EF4B9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4B96" w:rsidRPr="00EF4B96" w:rsidRDefault="00EF4B96" w:rsidP="00EF4B96">
            <w:pPr>
              <w:spacing w:before="251" w:after="251" w:line="240" w:lineRule="auto"/>
              <w:jc w:val="center"/>
              <w:rPr>
                <w:rFonts w:ascii="Open Sans" w:eastAsia="Times New Roman" w:hAnsi="Open Sans" w:cs="Times New Roman"/>
                <w:i/>
                <w:iCs/>
                <w:color w:val="9B9B9B"/>
                <w:sz w:val="23"/>
                <w:szCs w:val="23"/>
              </w:rPr>
            </w:pPr>
            <w:r w:rsidRPr="00EF4B96">
              <w:rPr>
                <w:rFonts w:ascii="Open Sans" w:eastAsia="Times New Roman" w:hAnsi="Open Sans" w:cs="Times New Roman"/>
                <w:i/>
                <w:iCs/>
                <w:color w:val="9B9B9B"/>
                <w:sz w:val="23"/>
                <w:szCs w:val="23"/>
              </w:rPr>
              <w:t> </w:t>
            </w:r>
          </w:p>
        </w:tc>
      </w:tr>
    </w:tbl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Незмінна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натхненниця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премії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та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членкиня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журі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– </w:t>
      </w:r>
      <w:proofErr w:type="spellStart"/>
      <w:proofErr w:type="gram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Св</w:t>
      </w:r>
      <w:proofErr w:type="gram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ітлана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Пиркало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за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сумісництвом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знакова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постать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укрсучліту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Нині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прем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ію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вручають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двох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номінаціях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: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дорослій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та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дитячій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.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Журі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одне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для </w:t>
      </w:r>
      <w:proofErr w:type="spellStart"/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вс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іх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.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Цього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року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це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Віра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Агеєва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Андрій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Курков</w:t>
      </w: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Ольга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Герасим’юк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Світлана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Пиркало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та </w:t>
      </w:r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Марта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Шокало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Проводиться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також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конкурс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читацьких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рецензій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на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видання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лонг-лісту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прем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Ц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ікаво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що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відповідно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до правил, автор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номінованої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книжки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має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бути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повнолітнім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на час старту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щорічної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премії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живим на момент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визначення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книжки-переможця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Цього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року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з’явилася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додаткова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опція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: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видавці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можуть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номінувати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не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лише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книги,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написані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опубліковані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українською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мовою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але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й</w:t>
      </w:r>
      <w:proofErr w:type="spellEnd"/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видання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мовою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інших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народів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які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проживають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на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території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України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в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перекладі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на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українську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 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Дата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нагородження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:</w:t>
      </w: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грудень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Лауреати-2015:</w:t>
      </w: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Василь Махно</w:t>
      </w: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–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збірка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оповідань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Дім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Бейтинг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Голлов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";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Андрій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Бачинський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</w:t>
      </w: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– "140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децибелів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тиші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".</w:t>
      </w:r>
    </w:p>
    <w:p w:rsidR="00EF4B96" w:rsidRPr="00EF4B96" w:rsidRDefault="00EF4B96" w:rsidP="00EF4B96">
      <w:pPr>
        <w:spacing w:after="167" w:line="240" w:lineRule="auto"/>
        <w:jc w:val="center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proofErr w:type="gram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Прем</w:t>
      </w:r>
      <w:proofErr w:type="gram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ія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імені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Юрія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Шевельова</w:t>
      </w:r>
      <w:proofErr w:type="spellEnd"/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Премія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модерної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есеїстики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імені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Юрія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Шевельова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–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повна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назва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нагороди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промовляє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сама </w:t>
      </w:r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за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себе.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Це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спільний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проект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Українського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центру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Міжнародного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ПЕН-клубу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Києво-Могилянсько</w:t>
      </w:r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Б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ізнес-школи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видавництва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"Дух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Літера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" та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Українського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інституту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Гарвардського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університету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Заснована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у 2013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році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на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пошану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видатного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українського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мислителя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науковця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знаменитого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також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як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есеї</w:t>
      </w:r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ст</w:t>
      </w:r>
      <w:proofErr w:type="spellEnd"/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премія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покликана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відзначити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найкращу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книжку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цього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жанру,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видану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протягом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року.</w:t>
      </w:r>
    </w:p>
    <w:tbl>
      <w:tblPr>
        <w:tblW w:w="10047" w:type="dxa"/>
        <w:jc w:val="center"/>
        <w:tblCellMar>
          <w:left w:w="0" w:type="dxa"/>
          <w:right w:w="0" w:type="dxa"/>
        </w:tblCellMar>
        <w:tblLook w:val="04A0"/>
      </w:tblPr>
      <w:tblGrid>
        <w:gridCol w:w="10047"/>
      </w:tblGrid>
      <w:tr w:rsidR="00EF4B96" w:rsidRPr="00EF4B96" w:rsidTr="00EF4B9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4B96" w:rsidRPr="00EF4B96" w:rsidRDefault="00EF4B96" w:rsidP="00EF4B9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</w:rPr>
            </w:pPr>
            <w:r>
              <w:rPr>
                <w:rFonts w:ascii="Open Sans" w:eastAsia="Times New Roman" w:hAnsi="Open Sans" w:cs="Times New Roman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>
                  <wp:extent cx="5709920" cy="3529965"/>
                  <wp:effectExtent l="19050" t="0" r="5080" b="0"/>
                  <wp:docPr id="5" name="Рисунок 5" descr="http://life.pravda.com.ua/images/doc/f/5/f59c1b9-sheveli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fe.pravda.com.ua/images/doc/f/5/f59c1b9-sheveli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352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B96" w:rsidRPr="00EF4B96" w:rsidTr="00EF4B9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4B96" w:rsidRPr="00EF4B96" w:rsidRDefault="00EF4B96" w:rsidP="00EF4B96">
            <w:pPr>
              <w:spacing w:before="251" w:after="251" w:line="240" w:lineRule="auto"/>
              <w:jc w:val="center"/>
              <w:rPr>
                <w:rFonts w:ascii="Open Sans" w:eastAsia="Times New Roman" w:hAnsi="Open Sans" w:cs="Times New Roman"/>
                <w:i/>
                <w:iCs/>
                <w:color w:val="9B9B9B"/>
                <w:sz w:val="23"/>
                <w:szCs w:val="23"/>
              </w:rPr>
            </w:pPr>
            <w:r w:rsidRPr="00EF4B96">
              <w:rPr>
                <w:rFonts w:ascii="Open Sans" w:eastAsia="Times New Roman" w:hAnsi="Open Sans" w:cs="Times New Roman"/>
                <w:i/>
                <w:iCs/>
                <w:color w:val="9B9B9B"/>
                <w:sz w:val="23"/>
                <w:szCs w:val="23"/>
              </w:rPr>
              <w:t> </w:t>
            </w:r>
          </w:p>
        </w:tc>
      </w:tr>
    </w:tbl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Номінування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здійснюють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читачі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: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будь-хто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може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надіслати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заявку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відповідно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до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визначеного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на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сайті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формату.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До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складу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журі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входять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визнані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публічні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інтелектуали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лауреати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попередніх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років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та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представники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співзасновників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зокрема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Оля Гнатюк</w:t>
      </w: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Сергій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Плохій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Микола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Рябчук</w:t>
      </w: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Леонід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Фінберг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Тамара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Гундорова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Елеонора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Соловей</w:t>
      </w: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.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Переможець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отримує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статуетку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диплом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фінансову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винагороду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Дата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нагородження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:</w:t>
      </w: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17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грудня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день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народження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професора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Юрія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Шевельова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Лауреати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попередніх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рокі</w:t>
      </w:r>
      <w:proofErr w:type="gram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в</w:t>
      </w:r>
      <w:proofErr w:type="spellEnd"/>
      <w:proofErr w:type="gram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:</w:t>
      </w: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gram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Тарас</w:t>
      </w:r>
      <w:proofErr w:type="gram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Прохасько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,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Однієї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тої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самої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";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Андрій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Портнов</w:t>
      </w: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,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Історії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для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домашнього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вжитку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";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Костянтин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Москалець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"Сполохи";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Олександр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Бойченко</w:t>
      </w: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,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Більше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/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менше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".</w:t>
      </w:r>
    </w:p>
    <w:p w:rsidR="00EF4B96" w:rsidRPr="00EF4B96" w:rsidRDefault="00EF4B96" w:rsidP="00EF4B96">
      <w:pPr>
        <w:spacing w:after="167" w:line="240" w:lineRule="auto"/>
        <w:jc w:val="center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ЛітАкцент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року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Найбільш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нішева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відзнака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яку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присуджують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критики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імені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проф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ільного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сайту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ЛітАкцент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Первинний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список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україномовних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книжок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виданих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протягом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року як в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Україні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так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закордоном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формують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співробітники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сайту.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Далі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відбирають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видання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для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лонг-ліста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проголосувати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може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кожен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хто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має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бодай одну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публікацію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на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ЛітАкценті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tbl>
      <w:tblPr>
        <w:tblW w:w="10047" w:type="dxa"/>
        <w:jc w:val="center"/>
        <w:tblCellMar>
          <w:left w:w="0" w:type="dxa"/>
          <w:right w:w="0" w:type="dxa"/>
        </w:tblCellMar>
        <w:tblLook w:val="04A0"/>
      </w:tblPr>
      <w:tblGrid>
        <w:gridCol w:w="10047"/>
      </w:tblGrid>
      <w:tr w:rsidR="00EF4B96" w:rsidRPr="00EF4B96" w:rsidTr="00EF4B9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4B96" w:rsidRPr="00EF4B96" w:rsidRDefault="00EF4B96" w:rsidP="00EF4B9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</w:rPr>
            </w:pPr>
            <w:r>
              <w:rPr>
                <w:rFonts w:ascii="Open Sans" w:eastAsia="Times New Roman" w:hAnsi="Open Sans" w:cs="Times New Roman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>
                  <wp:extent cx="5709920" cy="3529965"/>
                  <wp:effectExtent l="19050" t="0" r="5080" b="0"/>
                  <wp:docPr id="6" name="Рисунок 6" descr="http://life.pravda.com.ua/images/doc/0/2/02bb1d2-litakc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fe.pravda.com.ua/images/doc/0/2/02bb1d2-litakc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352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B96" w:rsidRPr="00EF4B96" w:rsidTr="00EF4B9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4B96" w:rsidRPr="00EF4B96" w:rsidRDefault="00EF4B96" w:rsidP="00EF4B96">
            <w:pPr>
              <w:spacing w:before="251" w:after="251" w:line="240" w:lineRule="auto"/>
              <w:jc w:val="center"/>
              <w:rPr>
                <w:rFonts w:ascii="Open Sans" w:eastAsia="Times New Roman" w:hAnsi="Open Sans" w:cs="Times New Roman"/>
                <w:i/>
                <w:iCs/>
                <w:color w:val="9B9B9B"/>
                <w:sz w:val="23"/>
                <w:szCs w:val="23"/>
              </w:rPr>
            </w:pPr>
            <w:r w:rsidRPr="00EF4B96">
              <w:rPr>
                <w:rFonts w:ascii="Open Sans" w:eastAsia="Times New Roman" w:hAnsi="Open Sans" w:cs="Times New Roman"/>
                <w:i/>
                <w:iCs/>
                <w:color w:val="9B9B9B"/>
                <w:sz w:val="23"/>
                <w:szCs w:val="23"/>
              </w:rPr>
              <w:t> </w:t>
            </w:r>
          </w:p>
        </w:tc>
      </w:tr>
    </w:tbl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А короткий список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оцінює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фахове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журі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спец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іально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сформоване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для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кожної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номінацій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"Проза",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Поезія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", "Проза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поезія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для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дітей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",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Есеїстика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";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переможця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в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Літератузнавстві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"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визначає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адміністрація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сайту.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Лауреата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номінації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  "Золота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булька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"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обирають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усі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разом –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це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найскандальніша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відзнака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для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книжок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які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розчарували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".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Оголошення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результатів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Золотої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бульки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"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чекають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найбільше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–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це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чи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не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єдина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резонансна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фахова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антипремія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в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Україні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Усі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переможці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крім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золотобулечника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",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отримують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дипломи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подарункові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сертифікати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мережі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книгарень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"Є".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Дата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нагородження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:</w:t>
      </w: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шорт-лі</w:t>
      </w:r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ст</w:t>
      </w:r>
      <w:proofErr w:type="spellEnd"/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оприлюднять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січні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2017 року.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Лауреати-2015: </w:t>
      </w: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Поезія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" – </w:t>
      </w:r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Мирослав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Лаюк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збірка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Метрофобія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"; "Проза" – </w:t>
      </w:r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Владислав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Івченко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, роман "2014";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Поезія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проза для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дітей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" –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Творча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майстерня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Аграфка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",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Війна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що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змінила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Рондо";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Літературознавство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" –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Олена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Галета</w:t>
      </w: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,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антології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до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онтології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";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антивідзнака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"Золота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булька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" –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Олександр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Михед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, "Астра".</w:t>
      </w:r>
    </w:p>
    <w:p w:rsidR="00EF4B96" w:rsidRPr="00EF4B96" w:rsidRDefault="00EF4B96" w:rsidP="00EF4B96">
      <w:pPr>
        <w:spacing w:after="167" w:line="240" w:lineRule="auto"/>
        <w:jc w:val="center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Шевченківська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</w:t>
      </w:r>
      <w:proofErr w:type="spellStart"/>
      <w:proofErr w:type="gram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прем</w:t>
      </w:r>
      <w:proofErr w:type="gram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ія</w:t>
      </w:r>
      <w:proofErr w:type="spellEnd"/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Державна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нагорода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яку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вручають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тому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числі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за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літературні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твори.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Присуджується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лише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раз на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життя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–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необов’язково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громадянам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України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Її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не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критикував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хіба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лінивий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серед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лауреатів</w:t>
      </w:r>
      <w:proofErr w:type="spellEnd"/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є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,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сказати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б,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митці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визнані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найрізноманітніших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тусовках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середовищах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tbl>
      <w:tblPr>
        <w:tblW w:w="10047" w:type="dxa"/>
        <w:jc w:val="center"/>
        <w:tblCellMar>
          <w:left w:w="0" w:type="dxa"/>
          <w:right w:w="0" w:type="dxa"/>
        </w:tblCellMar>
        <w:tblLook w:val="04A0"/>
      </w:tblPr>
      <w:tblGrid>
        <w:gridCol w:w="10047"/>
      </w:tblGrid>
      <w:tr w:rsidR="00EF4B96" w:rsidRPr="00EF4B96" w:rsidTr="00EF4B9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4B96" w:rsidRPr="00EF4B96" w:rsidRDefault="00EF4B96" w:rsidP="00EF4B9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</w:rPr>
            </w:pPr>
            <w:r>
              <w:rPr>
                <w:rFonts w:ascii="Open Sans" w:eastAsia="Times New Roman" w:hAnsi="Open Sans" w:cs="Times New Roman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>
                  <wp:extent cx="5709920" cy="3529965"/>
                  <wp:effectExtent l="19050" t="0" r="5080" b="0"/>
                  <wp:docPr id="7" name="Рисунок 7" descr="http://life.pravda.com.ua/images/doc/1/3/134a517-shevchenkivska-prem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ife.pravda.com.ua/images/doc/1/3/134a517-shevchenkivska-prem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352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B96" w:rsidRPr="00EF4B96" w:rsidTr="00EF4B9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4B96" w:rsidRPr="00EF4B96" w:rsidRDefault="00EF4B96" w:rsidP="00EF4B96">
            <w:pPr>
              <w:spacing w:before="251" w:after="251" w:line="240" w:lineRule="auto"/>
              <w:jc w:val="center"/>
              <w:rPr>
                <w:rFonts w:ascii="Open Sans" w:eastAsia="Times New Roman" w:hAnsi="Open Sans" w:cs="Times New Roman"/>
                <w:i/>
                <w:iCs/>
                <w:color w:val="9B9B9B"/>
                <w:sz w:val="23"/>
                <w:szCs w:val="23"/>
              </w:rPr>
            </w:pPr>
            <w:r w:rsidRPr="00EF4B96">
              <w:rPr>
                <w:rFonts w:ascii="Open Sans" w:eastAsia="Times New Roman" w:hAnsi="Open Sans" w:cs="Times New Roman"/>
                <w:i/>
                <w:iCs/>
                <w:color w:val="9B9B9B"/>
                <w:sz w:val="23"/>
                <w:szCs w:val="23"/>
              </w:rPr>
              <w:t> </w:t>
            </w:r>
          </w:p>
        </w:tc>
      </w:tr>
    </w:tbl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Статус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сума нагороди (у 2015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році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– 192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тисячі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гривень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а на додачу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ще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ільги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диплом та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Почесний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знак 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вигляді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медалі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) не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дають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цілковито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ігнорувати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Національну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премію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України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ім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. Т.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Шевченка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попри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її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відносну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скомпрометованість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Список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лауреатів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щороку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залежав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складу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журі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– тут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завжди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був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потужним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людський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фактор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особисті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зв’язки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. Час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часу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це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збігалося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із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добрим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смаком.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Іноді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настільки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не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збігалося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що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громада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гучно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обурювалася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;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але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її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обурення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по-справжньому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врахували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лише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раз: </w:t>
      </w:r>
      <w:proofErr w:type="spellStart"/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ісля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активної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дискусії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низки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відкритих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листів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та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звернень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стосовно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майбутнього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лауреата 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номінації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"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Літературознавство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"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нагороду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не присудили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нікому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а саму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номінацію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скоротили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Цього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року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Шевченківський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комітет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очолив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Юрій</w:t>
      </w:r>
      <w:proofErr w:type="spellEnd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 Щербак</w:t>
      </w:r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. </w:t>
      </w:r>
      <w:proofErr w:type="spellStart"/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Ц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ікаво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що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усі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голови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комітету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різних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років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мали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стосунок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до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літератури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попри те,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що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премія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стосується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різних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напрямів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культури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Якщо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раніше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той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самий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тві</w:t>
      </w:r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р</w:t>
      </w:r>
      <w:proofErr w:type="spellEnd"/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можна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було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номінувати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на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премію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протягом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трьох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років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то зараз на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сайті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нагороди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положення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про порядок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подання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відсутнє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(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оновлюється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?),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лонг-лісту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теж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поки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немає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Дата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нагородження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: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офіційне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вручення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– 9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березня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,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перелі</w:t>
      </w:r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к</w:t>
      </w:r>
      <w:proofErr w:type="spellEnd"/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лауреатів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оприлюднюють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заздалегідь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Лауреат–2016: </w:t>
      </w:r>
      <w:proofErr w:type="spellStart"/>
      <w:proofErr w:type="gram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</w:t>
      </w:r>
      <w:proofErr w:type="gram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ісля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вже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згаданого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скандалу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найближчим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до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літератури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лауреатом-2016 став </w:t>
      </w:r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 xml:space="preserve">Левко </w:t>
      </w:r>
      <w:proofErr w:type="spellStart"/>
      <w:r w:rsidRPr="00EF4B96">
        <w:rPr>
          <w:rFonts w:ascii="Open Sans" w:eastAsia="Times New Roman" w:hAnsi="Open Sans" w:cs="Arial"/>
          <w:b/>
          <w:bCs/>
          <w:color w:val="000000"/>
          <w:sz w:val="27"/>
        </w:rPr>
        <w:t>Лук’яненко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за 13-томник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публіцистики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 xml:space="preserve"> "Шлях до </w:t>
      </w:r>
      <w:proofErr w:type="spellStart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відродження</w:t>
      </w:r>
      <w:proofErr w:type="spellEnd"/>
      <w:r w:rsidRPr="00EF4B96">
        <w:rPr>
          <w:rFonts w:ascii="Open Sans" w:eastAsia="Times New Roman" w:hAnsi="Open Sans" w:cs="Arial"/>
          <w:color w:val="000000"/>
          <w:sz w:val="27"/>
          <w:szCs w:val="27"/>
        </w:rPr>
        <w:t>".</w:t>
      </w:r>
    </w:p>
    <w:p w:rsidR="00EF4B96" w:rsidRPr="00EF4B96" w:rsidRDefault="00EF4B96" w:rsidP="00EF4B96">
      <w:pPr>
        <w:spacing w:after="167" w:line="240" w:lineRule="auto"/>
        <w:rPr>
          <w:rFonts w:ascii="Open Sans" w:eastAsia="Times New Roman" w:hAnsi="Open Sans" w:cs="Arial"/>
          <w:color w:val="000000"/>
          <w:sz w:val="27"/>
          <w:szCs w:val="27"/>
        </w:rPr>
      </w:pPr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Оксана Щур,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спеціально</w:t>
      </w:r>
      <w:proofErr w:type="spell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 xml:space="preserve"> для </w:t>
      </w:r>
      <w:proofErr w:type="spell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УП</w:t>
      </w:r>
      <w:proofErr w:type="gramStart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.К</w:t>
      </w:r>
      <w:proofErr w:type="gramEnd"/>
      <w:r w:rsidRPr="00EF4B96">
        <w:rPr>
          <w:rFonts w:ascii="Open Sans" w:eastAsia="Times New Roman" w:hAnsi="Open Sans" w:cs="Arial"/>
          <w:i/>
          <w:iCs/>
          <w:color w:val="000000"/>
          <w:sz w:val="27"/>
        </w:rPr>
        <w:t>ультура</w:t>
      </w:r>
      <w:proofErr w:type="spellEnd"/>
    </w:p>
    <w:p w:rsidR="003F1DC0" w:rsidRDefault="003F1DC0"/>
    <w:sectPr w:rsidR="003F1DC0" w:rsidSect="00EF4B96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B96"/>
    <w:rsid w:val="003F1DC0"/>
    <w:rsid w:val="00EF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B96"/>
    <w:rPr>
      <w:strike w:val="0"/>
      <w:dstrike w:val="0"/>
      <w:color w:val="23527C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EF4B96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-name8">
    <w:name w:val="autor-name8"/>
    <w:basedOn w:val="a0"/>
    <w:rsid w:val="00EF4B96"/>
    <w:rPr>
      <w:rFonts w:ascii="Open Sans" w:hAnsi="Open Sans" w:hint="default"/>
      <w:b/>
      <w:bCs/>
      <w:color w:val="FFFFFF"/>
      <w:sz w:val="20"/>
      <w:szCs w:val="20"/>
    </w:rPr>
  </w:style>
  <w:style w:type="character" w:customStyle="1" w:styleId="autor-desctiption2">
    <w:name w:val="autor-desctiption2"/>
    <w:basedOn w:val="a0"/>
    <w:rsid w:val="00EF4B96"/>
  </w:style>
  <w:style w:type="character" w:customStyle="1" w:styleId="statistic-text5">
    <w:name w:val="statistic-text5"/>
    <w:basedOn w:val="a0"/>
    <w:rsid w:val="00EF4B96"/>
    <w:rPr>
      <w:sz w:val="23"/>
      <w:szCs w:val="23"/>
    </w:rPr>
  </w:style>
  <w:style w:type="character" w:customStyle="1" w:styleId="fbcommentscount">
    <w:name w:val="fb_comments_count"/>
    <w:basedOn w:val="a0"/>
    <w:rsid w:val="00EF4B96"/>
  </w:style>
  <w:style w:type="character" w:customStyle="1" w:styleId="data3">
    <w:name w:val="data3"/>
    <w:basedOn w:val="a0"/>
    <w:rsid w:val="00EF4B96"/>
    <w:rPr>
      <w:rFonts w:ascii="Open Sans" w:hAnsi="Open Sans" w:hint="default"/>
      <w:color w:val="363636"/>
      <w:sz w:val="27"/>
      <w:szCs w:val="27"/>
    </w:rPr>
  </w:style>
  <w:style w:type="character" w:styleId="a5">
    <w:name w:val="Emphasis"/>
    <w:basedOn w:val="a0"/>
    <w:uiPriority w:val="20"/>
    <w:qFormat/>
    <w:rsid w:val="00EF4B96"/>
    <w:rPr>
      <w:i/>
      <w:iCs/>
    </w:rPr>
  </w:style>
  <w:style w:type="character" w:styleId="a6">
    <w:name w:val="Strong"/>
    <w:basedOn w:val="a0"/>
    <w:uiPriority w:val="22"/>
    <w:qFormat/>
    <w:rsid w:val="00EF4B9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9315">
                                      <w:marLeft w:val="0"/>
                                      <w:marRight w:val="0"/>
                                      <w:marTop w:val="0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1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9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5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88866">
                                      <w:marLeft w:val="0"/>
                                      <w:marRight w:val="0"/>
                                      <w:marTop w:val="0"/>
                                      <w:marBottom w:val="5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35584">
                                          <w:marLeft w:val="0"/>
                                          <w:marRight w:val="0"/>
                                          <w:marTop w:val="0"/>
                                          <w:marBottom w:val="4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3261">
                                          <w:marLeft w:val="0"/>
                                          <w:marRight w:val="0"/>
                                          <w:marTop w:val="0"/>
                                          <w:marBottom w:val="4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115188">
                                          <w:marLeft w:val="0"/>
                                          <w:marRight w:val="0"/>
                                          <w:marTop w:val="0"/>
                                          <w:marBottom w:val="4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life.pravda.com.ua/culture/2016/11/24/220522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1086</Words>
  <Characters>6192</Characters>
  <Application>Microsoft Office Word</Application>
  <DocSecurity>0</DocSecurity>
  <Lines>51</Lines>
  <Paragraphs>14</Paragraphs>
  <ScaleCrop>false</ScaleCrop>
  <Company>Grizli777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2</cp:revision>
  <dcterms:created xsi:type="dcterms:W3CDTF">2017-03-14T20:31:00Z</dcterms:created>
  <dcterms:modified xsi:type="dcterms:W3CDTF">2017-03-14T20:34:00Z</dcterms:modified>
</cp:coreProperties>
</file>