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b/>
          <w:sz w:val="22"/>
          <w:szCs w:val="22"/>
          <w:lang w:val="uk-UA"/>
        </w:rPr>
        <w:t xml:space="preserve">Тема 1. </w:t>
      </w:r>
      <w:r w:rsidRPr="00BC7F8A">
        <w:rPr>
          <w:b/>
          <w:sz w:val="22"/>
          <w:szCs w:val="22"/>
          <w:lang w:val="uk-UA"/>
        </w:rPr>
        <w:fldChar w:fldCharType="begin"/>
      </w:r>
      <w:r w:rsidRPr="00BC7F8A">
        <w:rPr>
          <w:b/>
          <w:sz w:val="22"/>
          <w:szCs w:val="22"/>
          <w:lang w:val="uk-UA"/>
        </w:rPr>
        <w:instrText xml:space="preserve">ref topic09 \* MERGEFORMAT </w:instrText>
      </w:r>
      <w:r w:rsidRPr="00BC7F8A">
        <w:rPr>
          <w:b/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Системний метод дослідження</w:t>
      </w:r>
      <w:r w:rsidRPr="00BC7F8A">
        <w:rPr>
          <w:b/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ref top_09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 xml:space="preserve">Специфіка системного методу та класифікація систем. Самоорганізація систем та </w:t>
      </w:r>
      <w:proofErr w:type="spellStart"/>
      <w:r w:rsidRPr="00AA3D77">
        <w:rPr>
          <w:sz w:val="22"/>
          <w:szCs w:val="22"/>
          <w:lang w:val="uk-UA"/>
        </w:rPr>
        <w:t>синергетика</w:t>
      </w:r>
      <w:proofErr w:type="spellEnd"/>
      <w:r w:rsidRPr="00AA3D77">
        <w:rPr>
          <w:sz w:val="22"/>
          <w:szCs w:val="22"/>
          <w:lang w:val="uk-UA"/>
        </w:rPr>
        <w:t xml:space="preserve">. Синергетичний аналіз </w:t>
      </w:r>
      <w:proofErr w:type="spellStart"/>
      <w:r w:rsidRPr="00AA3D77">
        <w:rPr>
          <w:sz w:val="22"/>
          <w:szCs w:val="22"/>
          <w:lang w:val="uk-UA"/>
        </w:rPr>
        <w:t>складноорганізованих</w:t>
      </w:r>
      <w:proofErr w:type="spellEnd"/>
      <w:r w:rsidRPr="00AA3D77">
        <w:rPr>
          <w:sz w:val="22"/>
          <w:szCs w:val="22"/>
          <w:lang w:val="uk-UA"/>
        </w:rPr>
        <w:t xml:space="preserve"> системи. Системний метод та сучасний науковий світогляд. Когнітивні артефакти. Когнітивні форми культури: схеми, фрейми, сценарії та моделі. Культурна категоризація. Культурні концепти. Колективні та соціальні уявлення як когнітивні складові повсякденного знання.</w:t>
      </w:r>
      <w:r w:rsidRPr="00BC7F8A">
        <w:rPr>
          <w:sz w:val="22"/>
          <w:szCs w:val="22"/>
          <w:lang w:val="uk-UA"/>
        </w:rPr>
        <w:fldChar w:fldCharType="end"/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b/>
          <w:sz w:val="22"/>
          <w:szCs w:val="22"/>
          <w:lang w:val="uk-UA"/>
        </w:rPr>
        <w:t xml:space="preserve">Тема 2. </w:t>
      </w:r>
      <w:r w:rsidRPr="00BC7F8A">
        <w:rPr>
          <w:b/>
          <w:sz w:val="22"/>
          <w:szCs w:val="22"/>
          <w:lang w:val="uk-UA"/>
        </w:rPr>
        <w:fldChar w:fldCharType="begin"/>
      </w:r>
      <w:r w:rsidRPr="00BC7F8A">
        <w:rPr>
          <w:b/>
          <w:sz w:val="22"/>
          <w:szCs w:val="22"/>
          <w:lang w:val="uk-UA"/>
        </w:rPr>
        <w:instrText xml:space="preserve">ref topic10 \* MERGEFORMAT </w:instrText>
      </w:r>
      <w:r w:rsidRPr="00BC7F8A">
        <w:rPr>
          <w:b/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Емпіричні методи дослідження в гуманітарних науках</w:t>
      </w:r>
      <w:r w:rsidRPr="00BC7F8A">
        <w:rPr>
          <w:b/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ref top_10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Спостереження як метод пізнання. Особливості використання методу спостереження в гуманітарних науках Експеримент як особлива форма наукового пізнання та особливості використання в гуманітарних науках. Вимірювання соціальних об'єктів. Шкали вимірювання.</w:t>
      </w:r>
      <w:r w:rsidRPr="00BC7F8A">
        <w:rPr>
          <w:sz w:val="22"/>
          <w:szCs w:val="22"/>
          <w:lang w:val="uk-UA"/>
        </w:rPr>
        <w:fldChar w:fldCharType="end"/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b/>
          <w:sz w:val="22"/>
          <w:szCs w:val="22"/>
          <w:lang w:val="uk-UA"/>
        </w:rPr>
        <w:t xml:space="preserve">Тема 3. </w:t>
      </w:r>
      <w:r w:rsidRPr="00BC7F8A">
        <w:rPr>
          <w:b/>
          <w:sz w:val="22"/>
          <w:szCs w:val="22"/>
          <w:lang w:val="uk-UA"/>
        </w:rPr>
        <w:fldChar w:fldCharType="begin"/>
      </w:r>
      <w:r w:rsidRPr="00BC7F8A">
        <w:rPr>
          <w:b/>
          <w:sz w:val="22"/>
          <w:szCs w:val="22"/>
          <w:lang w:val="uk-UA"/>
        </w:rPr>
        <w:instrText xml:space="preserve">ref topic11 \* MERGEFORMAT </w:instrText>
      </w:r>
      <w:r w:rsidRPr="00BC7F8A">
        <w:rPr>
          <w:b/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Теоретичні методи дослідження в гуманітарних науках</w:t>
      </w:r>
      <w:r w:rsidRPr="00BC7F8A">
        <w:rPr>
          <w:b/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ref top_11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Абстрагування та ідеалізація. Наукові факти та їх узагальнення. Наукові гіпотези та принципи їх формулювання в наукових дослідженнях. Наукові закони, регулярність та випадковість в соціальних дослідженнях. Особливості використання теоретичних методів в гуманітарних науках.</w:t>
      </w:r>
      <w:r w:rsidRPr="00BC7F8A">
        <w:rPr>
          <w:sz w:val="22"/>
          <w:szCs w:val="22"/>
          <w:lang w:val="uk-UA"/>
        </w:rPr>
        <w:fldChar w:fldCharType="end"/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b/>
          <w:sz w:val="22"/>
          <w:szCs w:val="22"/>
          <w:lang w:val="uk-UA"/>
        </w:rPr>
        <w:t xml:space="preserve">Тема 4. </w:t>
      </w:r>
      <w:r w:rsidRPr="00BC7F8A">
        <w:rPr>
          <w:b/>
          <w:sz w:val="22"/>
          <w:szCs w:val="22"/>
          <w:lang w:val="uk-UA"/>
        </w:rPr>
        <w:fldChar w:fldCharType="begin"/>
      </w:r>
      <w:r w:rsidRPr="00BC7F8A">
        <w:rPr>
          <w:b/>
          <w:sz w:val="22"/>
          <w:szCs w:val="22"/>
          <w:lang w:val="uk-UA"/>
        </w:rPr>
        <w:instrText xml:space="preserve">ref topic12 \* MERGEFORMAT </w:instrText>
      </w:r>
      <w:r w:rsidRPr="00BC7F8A">
        <w:rPr>
          <w:b/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Гіпотетико-дедуктивний метод пізнання</w:t>
      </w:r>
      <w:r w:rsidRPr="00BC7F8A">
        <w:rPr>
          <w:b/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ref top_12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Індуктивна модель обґрунтування науки. Гіпотетико-дедуктивний метод міркування. Логічна структура гіпотетико-дедуктивних систем. Метод математичної гіпотези як різновид гіпотетико-дедуктивної системи.</w:t>
      </w:r>
      <w:r w:rsidRPr="00BC7F8A">
        <w:rPr>
          <w:sz w:val="22"/>
          <w:szCs w:val="22"/>
          <w:lang w:val="uk-UA"/>
        </w:rPr>
        <w:fldChar w:fldCharType="end"/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b/>
          <w:sz w:val="22"/>
          <w:szCs w:val="22"/>
          <w:lang w:val="uk-UA"/>
        </w:rPr>
        <w:t xml:space="preserve">Тема 5. </w:t>
      </w:r>
      <w:r w:rsidRPr="00BC7F8A">
        <w:rPr>
          <w:b/>
          <w:sz w:val="22"/>
          <w:szCs w:val="22"/>
          <w:lang w:val="uk-UA"/>
        </w:rPr>
        <w:fldChar w:fldCharType="begin"/>
      </w:r>
      <w:r w:rsidRPr="00BC7F8A">
        <w:rPr>
          <w:b/>
          <w:sz w:val="22"/>
          <w:szCs w:val="22"/>
          <w:lang w:val="uk-UA"/>
        </w:rPr>
        <w:instrText xml:space="preserve">ref topic13 \* MERGEFORMAT </w:instrText>
      </w:r>
      <w:r w:rsidRPr="00BC7F8A">
        <w:rPr>
          <w:b/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Абдукція як метод пізнання</w:t>
      </w:r>
      <w:r w:rsidRPr="00BC7F8A">
        <w:rPr>
          <w:b/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ref top_13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 xml:space="preserve">Абдукція як альтернатива гіпотетико-дедуктивному методу. </w:t>
      </w:r>
      <w:proofErr w:type="spellStart"/>
      <w:r w:rsidRPr="00AA3D77">
        <w:rPr>
          <w:sz w:val="22"/>
          <w:szCs w:val="22"/>
          <w:lang w:val="uk-UA"/>
        </w:rPr>
        <w:t>Абдуктивні</w:t>
      </w:r>
      <w:proofErr w:type="spellEnd"/>
      <w:r w:rsidRPr="00AA3D77">
        <w:rPr>
          <w:sz w:val="22"/>
          <w:szCs w:val="22"/>
          <w:lang w:val="uk-UA"/>
        </w:rPr>
        <w:t xml:space="preserve"> міркування та їх особливості. Можливі способи використання </w:t>
      </w:r>
      <w:proofErr w:type="spellStart"/>
      <w:r w:rsidRPr="00AA3D77">
        <w:rPr>
          <w:sz w:val="22"/>
          <w:szCs w:val="22"/>
          <w:lang w:val="uk-UA"/>
        </w:rPr>
        <w:t>абдуктивних</w:t>
      </w:r>
      <w:proofErr w:type="spellEnd"/>
      <w:r w:rsidRPr="00AA3D77">
        <w:rPr>
          <w:sz w:val="22"/>
          <w:szCs w:val="22"/>
          <w:lang w:val="uk-UA"/>
        </w:rPr>
        <w:t xml:space="preserve"> міркувань. Критика та подальший розвиток принципів абдукції.</w:t>
      </w:r>
      <w:r w:rsidRPr="00BC7F8A">
        <w:rPr>
          <w:sz w:val="22"/>
          <w:szCs w:val="22"/>
          <w:lang w:val="uk-UA"/>
        </w:rPr>
        <w:fldChar w:fldCharType="end"/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b/>
          <w:sz w:val="22"/>
          <w:szCs w:val="22"/>
          <w:lang w:val="uk-UA"/>
        </w:rPr>
        <w:t xml:space="preserve">Тема 6. </w:t>
      </w:r>
      <w:r w:rsidRPr="00BC7F8A">
        <w:rPr>
          <w:b/>
          <w:sz w:val="22"/>
          <w:szCs w:val="22"/>
          <w:lang w:val="uk-UA"/>
        </w:rPr>
        <w:fldChar w:fldCharType="begin"/>
      </w:r>
      <w:r w:rsidRPr="00BC7F8A">
        <w:rPr>
          <w:b/>
          <w:sz w:val="22"/>
          <w:szCs w:val="22"/>
          <w:lang w:val="uk-UA"/>
        </w:rPr>
        <w:instrText xml:space="preserve">ref topic14 \* MERGEFORMAT </w:instrText>
      </w:r>
      <w:r w:rsidRPr="00BC7F8A">
        <w:rPr>
          <w:b/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>Напрями оптимізації пізнавальної діяльності засобами сучасних інформаційних технологій</w:t>
      </w:r>
      <w:r w:rsidRPr="00BC7F8A">
        <w:rPr>
          <w:b/>
          <w:sz w:val="22"/>
          <w:szCs w:val="22"/>
          <w:lang w:val="uk-UA"/>
        </w:rPr>
        <w:fldChar w:fldCharType="end"/>
      </w:r>
      <w:r w:rsidRPr="00BC7F8A">
        <w:rPr>
          <w:sz w:val="22"/>
          <w:szCs w:val="22"/>
          <w:lang w:val="uk-UA"/>
        </w:rPr>
        <w:t>.</w:t>
      </w:r>
    </w:p>
    <w:p w:rsidR="00EF404F" w:rsidRPr="00BC7F8A" w:rsidRDefault="00EF404F" w:rsidP="00EF404F">
      <w:pPr>
        <w:tabs>
          <w:tab w:val="clear" w:pos="1134"/>
          <w:tab w:val="left" w:pos="426"/>
        </w:tabs>
        <w:spacing w:before="120" w:after="60"/>
        <w:ind w:firstLine="0"/>
        <w:rPr>
          <w:sz w:val="22"/>
          <w:szCs w:val="22"/>
          <w:lang w:val="uk-UA"/>
        </w:rPr>
      </w:pPr>
      <w:r w:rsidRPr="00BC7F8A">
        <w:rPr>
          <w:sz w:val="22"/>
          <w:szCs w:val="22"/>
          <w:lang w:val="uk-UA"/>
        </w:rPr>
        <w:fldChar w:fldCharType="begin"/>
      </w:r>
      <w:r w:rsidRPr="00BC7F8A">
        <w:rPr>
          <w:sz w:val="22"/>
          <w:szCs w:val="22"/>
          <w:lang w:val="uk-UA"/>
        </w:rPr>
        <w:instrText xml:space="preserve">ref top_14 \* MERGEFORMAT </w:instrText>
      </w:r>
      <w:r w:rsidRPr="00BC7F8A">
        <w:rPr>
          <w:sz w:val="22"/>
          <w:szCs w:val="22"/>
          <w:lang w:val="uk-UA"/>
        </w:rPr>
        <w:fldChar w:fldCharType="separate"/>
      </w:r>
      <w:r w:rsidRPr="00AA3D77">
        <w:rPr>
          <w:sz w:val="22"/>
          <w:szCs w:val="22"/>
          <w:lang w:val="uk-UA"/>
        </w:rPr>
        <w:t xml:space="preserve">Особливості використання традиційного програмного забезпечення у науковій та інформаційно-аналітичній діяльності державного службовця: Microsoft Office Word, Microsoft Office Excel, Microsoft Office OneNote, Microsoft Office PowerPoint, </w:t>
      </w:r>
      <w:proofErr w:type="spellStart"/>
      <w:r w:rsidRPr="00AA3D77">
        <w:rPr>
          <w:sz w:val="22"/>
          <w:szCs w:val="22"/>
          <w:lang w:val="uk-UA"/>
        </w:rPr>
        <w:t>Adode</w:t>
      </w:r>
      <w:proofErr w:type="spellEnd"/>
      <w:r w:rsidRPr="00AA3D77">
        <w:rPr>
          <w:sz w:val="22"/>
          <w:szCs w:val="22"/>
          <w:lang w:val="uk-UA"/>
        </w:rPr>
        <w:t xml:space="preserve"> </w:t>
      </w:r>
      <w:proofErr w:type="spellStart"/>
      <w:r w:rsidRPr="00AA3D77">
        <w:rPr>
          <w:sz w:val="22"/>
          <w:szCs w:val="22"/>
          <w:lang w:val="uk-UA"/>
        </w:rPr>
        <w:t>Acrobat</w:t>
      </w:r>
      <w:proofErr w:type="spellEnd"/>
      <w:r w:rsidRPr="00AA3D77">
        <w:rPr>
          <w:sz w:val="22"/>
          <w:szCs w:val="22"/>
          <w:lang w:val="uk-UA"/>
        </w:rPr>
        <w:t xml:space="preserve">. Спеціалізоване програмне забезпечення у пізнавальній діяльності: </w:t>
      </w:r>
      <w:proofErr w:type="spellStart"/>
      <w:r w:rsidRPr="00AA3D77">
        <w:rPr>
          <w:sz w:val="22"/>
          <w:szCs w:val="22"/>
          <w:lang w:val="uk-UA"/>
        </w:rPr>
        <w:t>MindJet</w:t>
      </w:r>
      <w:proofErr w:type="spellEnd"/>
      <w:r w:rsidRPr="00AA3D77">
        <w:rPr>
          <w:sz w:val="22"/>
          <w:szCs w:val="22"/>
          <w:lang w:val="uk-UA"/>
        </w:rPr>
        <w:t xml:space="preserve"> </w:t>
      </w:r>
      <w:proofErr w:type="spellStart"/>
      <w:r w:rsidRPr="00AA3D77">
        <w:rPr>
          <w:sz w:val="22"/>
          <w:szCs w:val="22"/>
          <w:lang w:val="uk-UA"/>
        </w:rPr>
        <w:t>MindManager</w:t>
      </w:r>
      <w:proofErr w:type="spellEnd"/>
      <w:r w:rsidRPr="00AA3D77">
        <w:rPr>
          <w:sz w:val="22"/>
          <w:szCs w:val="22"/>
          <w:lang w:val="uk-UA"/>
        </w:rPr>
        <w:t xml:space="preserve">, </w:t>
      </w:r>
      <w:proofErr w:type="spellStart"/>
      <w:r w:rsidRPr="00AA3D77">
        <w:rPr>
          <w:sz w:val="22"/>
          <w:szCs w:val="22"/>
          <w:lang w:val="uk-UA"/>
        </w:rPr>
        <w:t>Evernote</w:t>
      </w:r>
      <w:proofErr w:type="spellEnd"/>
      <w:r w:rsidRPr="00AA3D77">
        <w:rPr>
          <w:sz w:val="22"/>
          <w:szCs w:val="22"/>
          <w:lang w:val="uk-UA"/>
        </w:rPr>
        <w:t xml:space="preserve">, </w:t>
      </w:r>
      <w:proofErr w:type="spellStart"/>
      <w:r w:rsidRPr="00AA3D77">
        <w:rPr>
          <w:sz w:val="22"/>
          <w:szCs w:val="22"/>
          <w:lang w:val="uk-UA"/>
        </w:rPr>
        <w:t>антіплагіатори</w:t>
      </w:r>
      <w:proofErr w:type="spellEnd"/>
      <w:r w:rsidRPr="00AA3D77">
        <w:rPr>
          <w:sz w:val="22"/>
          <w:szCs w:val="22"/>
          <w:lang w:val="uk-UA"/>
        </w:rPr>
        <w:t xml:space="preserve">, менеджери персональної інформації. </w:t>
      </w:r>
      <w:proofErr w:type="spellStart"/>
      <w:r w:rsidRPr="00AA3D77">
        <w:rPr>
          <w:sz w:val="22"/>
          <w:szCs w:val="22"/>
          <w:lang w:val="uk-UA"/>
        </w:rPr>
        <w:t>Онлайн-технології</w:t>
      </w:r>
      <w:proofErr w:type="spellEnd"/>
      <w:r w:rsidRPr="00AA3D77">
        <w:rPr>
          <w:sz w:val="22"/>
          <w:szCs w:val="22"/>
          <w:lang w:val="uk-UA"/>
        </w:rPr>
        <w:t xml:space="preserve"> в діяльності державного службовця: </w:t>
      </w:r>
      <w:proofErr w:type="spellStart"/>
      <w:r w:rsidRPr="00AA3D77">
        <w:rPr>
          <w:sz w:val="22"/>
          <w:szCs w:val="22"/>
          <w:lang w:val="uk-UA"/>
        </w:rPr>
        <w:t>Google</w:t>
      </w:r>
      <w:proofErr w:type="spellEnd"/>
      <w:r w:rsidRPr="00AA3D77">
        <w:rPr>
          <w:sz w:val="22"/>
          <w:szCs w:val="22"/>
          <w:lang w:val="uk-UA"/>
        </w:rPr>
        <w:t xml:space="preserve">, </w:t>
      </w:r>
      <w:proofErr w:type="spellStart"/>
      <w:r w:rsidRPr="00AA3D77">
        <w:rPr>
          <w:sz w:val="22"/>
          <w:szCs w:val="22"/>
          <w:lang w:val="uk-UA"/>
        </w:rPr>
        <w:t>Dropbox</w:t>
      </w:r>
      <w:proofErr w:type="spellEnd"/>
      <w:r w:rsidRPr="00AA3D77">
        <w:rPr>
          <w:sz w:val="22"/>
          <w:szCs w:val="22"/>
          <w:lang w:val="uk-UA"/>
        </w:rPr>
        <w:t xml:space="preserve">, </w:t>
      </w:r>
      <w:proofErr w:type="spellStart"/>
      <w:r w:rsidRPr="00AA3D77">
        <w:rPr>
          <w:sz w:val="22"/>
          <w:szCs w:val="22"/>
          <w:lang w:val="uk-UA"/>
        </w:rPr>
        <w:t>Qiqqa</w:t>
      </w:r>
      <w:proofErr w:type="spellEnd"/>
      <w:r w:rsidRPr="00AA3D77">
        <w:rPr>
          <w:sz w:val="22"/>
          <w:szCs w:val="22"/>
          <w:lang w:val="uk-UA"/>
        </w:rPr>
        <w:t>.</w:t>
      </w:r>
      <w:r w:rsidRPr="00BC7F8A">
        <w:rPr>
          <w:sz w:val="22"/>
          <w:szCs w:val="22"/>
          <w:lang w:val="uk-UA"/>
        </w:rPr>
        <w:fldChar w:fldCharType="end"/>
      </w:r>
    </w:p>
    <w:p w:rsidR="00AB53A1" w:rsidRDefault="00AB53A1">
      <w:bookmarkStart w:id="0" w:name="_GoBack"/>
      <w:bookmarkEnd w:id="0"/>
    </w:p>
    <w:sectPr w:rsidR="00AB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81"/>
    <w:rsid w:val="000A1A81"/>
    <w:rsid w:val="00AB53A1"/>
    <w:rsid w:val="00E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4F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4F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2018-02-11T15:00:00Z</dcterms:created>
  <dcterms:modified xsi:type="dcterms:W3CDTF">2018-02-11T15:00:00Z</dcterms:modified>
</cp:coreProperties>
</file>