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76F" w:rsidRPr="00DD73A8" w:rsidRDefault="000B476F" w:rsidP="000B476F">
      <w:pPr>
        <w:spacing w:after="0" w:line="240" w:lineRule="auto"/>
        <w:jc w:val="center"/>
        <w:rPr>
          <w:rFonts w:ascii="Times New Roman" w:eastAsia="Times New Roman" w:hAnsi="Times New Roman" w:cs="Times New Roman"/>
          <w:b/>
          <w:sz w:val="28"/>
          <w:szCs w:val="28"/>
          <w:lang w:val="uk-UA" w:eastAsia="uk-UA"/>
        </w:rPr>
      </w:pPr>
      <w:r w:rsidRPr="00DD73A8">
        <w:rPr>
          <w:rFonts w:ascii="Times New Roman" w:eastAsia="Times New Roman" w:hAnsi="Times New Roman" w:cs="Times New Roman"/>
          <w:b/>
          <w:sz w:val="28"/>
          <w:szCs w:val="28"/>
          <w:lang w:val="uk-UA" w:eastAsia="uk-UA"/>
        </w:rPr>
        <w:t>ТЕМА 2</w:t>
      </w:r>
    </w:p>
    <w:p w:rsidR="000B476F" w:rsidRPr="00DD73A8" w:rsidRDefault="000B476F" w:rsidP="000B476F">
      <w:pPr>
        <w:spacing w:after="0" w:line="240" w:lineRule="auto"/>
        <w:ind w:firstLine="567"/>
        <w:jc w:val="center"/>
        <w:rPr>
          <w:rFonts w:ascii="Times New Roman" w:eastAsia="Times New Roman" w:hAnsi="Times New Roman" w:cs="Times New Roman"/>
          <w:b/>
          <w:sz w:val="28"/>
          <w:szCs w:val="28"/>
          <w:lang w:eastAsia="uk-UA"/>
        </w:rPr>
      </w:pPr>
      <w:r w:rsidRPr="00DD73A8">
        <w:rPr>
          <w:rFonts w:ascii="Times New Roman" w:eastAsia="Times New Roman" w:hAnsi="Times New Roman" w:cs="Times New Roman"/>
          <w:b/>
          <w:sz w:val="28"/>
          <w:szCs w:val="28"/>
          <w:lang w:eastAsia="uk-UA"/>
        </w:rPr>
        <w:t xml:space="preserve">ПОКАЗНИКИ </w:t>
      </w:r>
      <w:r w:rsidRPr="00DD73A8">
        <w:rPr>
          <w:rFonts w:ascii="Times New Roman" w:eastAsia="Times New Roman" w:hAnsi="Times New Roman" w:cs="Times New Roman"/>
          <w:b/>
          <w:sz w:val="28"/>
          <w:szCs w:val="28"/>
          <w:lang w:eastAsia="uk-UA"/>
        </w:rPr>
        <w:tab/>
        <w:t xml:space="preserve">РИЗИКУ </w:t>
      </w:r>
      <w:r w:rsidRPr="00DD73A8">
        <w:rPr>
          <w:rFonts w:ascii="Times New Roman" w:eastAsia="Times New Roman" w:hAnsi="Times New Roman" w:cs="Times New Roman"/>
          <w:b/>
          <w:sz w:val="28"/>
          <w:szCs w:val="28"/>
          <w:lang w:eastAsia="uk-UA"/>
        </w:rPr>
        <w:tab/>
        <w:t xml:space="preserve">ТА </w:t>
      </w:r>
      <w:r w:rsidRPr="00DD73A8">
        <w:rPr>
          <w:rFonts w:ascii="Times New Roman" w:eastAsia="Times New Roman" w:hAnsi="Times New Roman" w:cs="Times New Roman"/>
          <w:b/>
          <w:sz w:val="28"/>
          <w:szCs w:val="28"/>
          <w:lang w:eastAsia="uk-UA"/>
        </w:rPr>
        <w:tab/>
        <w:t xml:space="preserve">МЕТОДИ </w:t>
      </w:r>
      <w:r w:rsidRPr="00DD73A8">
        <w:rPr>
          <w:rFonts w:ascii="Times New Roman" w:eastAsia="Times New Roman" w:hAnsi="Times New Roman" w:cs="Times New Roman"/>
          <w:b/>
          <w:sz w:val="28"/>
          <w:szCs w:val="28"/>
          <w:lang w:eastAsia="uk-UA"/>
        </w:rPr>
        <w:tab/>
        <w:t xml:space="preserve">ЙОГО ОЦІНЮВАННЯ </w:t>
      </w:r>
    </w:p>
    <w:p w:rsidR="000B476F" w:rsidRPr="00DD73A8" w:rsidRDefault="000B476F" w:rsidP="000B476F">
      <w:pPr>
        <w:spacing w:after="0" w:line="240" w:lineRule="auto"/>
        <w:ind w:firstLine="567"/>
        <w:jc w:val="center"/>
        <w:rPr>
          <w:rFonts w:ascii="Times New Roman" w:eastAsia="Times New Roman" w:hAnsi="Times New Roman" w:cs="Times New Roman"/>
          <w:b/>
          <w:sz w:val="28"/>
          <w:szCs w:val="28"/>
          <w:lang w:val="uk-UA" w:eastAsia="uk-UA"/>
        </w:rPr>
      </w:pPr>
      <w:r w:rsidRPr="00DD73A8">
        <w:rPr>
          <w:rFonts w:ascii="Calibri" w:eastAsia="Calibri" w:hAnsi="Calibri" w:cs="Times New Roman"/>
          <w:noProof/>
          <w:lang w:eastAsia="ru-RU"/>
        </w:rPr>
        <w:drawing>
          <wp:anchor distT="0" distB="0" distL="114300" distR="114300" simplePos="0" relativeHeight="251659264" behindDoc="0" locked="0" layoutInCell="1" allowOverlap="1" wp14:anchorId="7ADDFD4C" wp14:editId="314B404D">
            <wp:simplePos x="0" y="0"/>
            <wp:positionH relativeFrom="column">
              <wp:posOffset>0</wp:posOffset>
            </wp:positionH>
            <wp:positionV relativeFrom="paragraph">
              <wp:posOffset>59690</wp:posOffset>
            </wp:positionV>
            <wp:extent cx="968375" cy="877570"/>
            <wp:effectExtent l="0" t="0" r="3175" b="0"/>
            <wp:wrapSquare wrapText="bothSides"/>
            <wp:docPr id="193646592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8375" cy="877570"/>
                    </a:xfrm>
                    <a:prstGeom prst="rect">
                      <a:avLst/>
                    </a:prstGeom>
                    <a:noFill/>
                  </pic:spPr>
                </pic:pic>
              </a:graphicData>
            </a:graphic>
            <wp14:sizeRelH relativeFrom="page">
              <wp14:pctWidth>0</wp14:pctWidth>
            </wp14:sizeRelH>
            <wp14:sizeRelV relativeFrom="page">
              <wp14:pctHeight>0</wp14:pctHeight>
            </wp14:sizeRelV>
          </wp:anchor>
        </w:drawing>
      </w:r>
    </w:p>
    <w:p w:rsidR="000B476F" w:rsidRPr="00DD73A8" w:rsidRDefault="000B476F" w:rsidP="000B476F">
      <w:pPr>
        <w:spacing w:after="0" w:line="240" w:lineRule="auto"/>
        <w:ind w:firstLine="567"/>
        <w:jc w:val="both"/>
        <w:rPr>
          <w:rFonts w:ascii="Times New Roman" w:eastAsia="Times New Roman" w:hAnsi="Times New Roman" w:cs="Times New Roman"/>
          <w:sz w:val="28"/>
          <w:szCs w:val="28"/>
          <w:lang w:val="uk-UA" w:eastAsia="uk-UA"/>
        </w:rPr>
      </w:pPr>
      <w:r w:rsidRPr="00DD73A8">
        <w:rPr>
          <w:rFonts w:ascii="Times New Roman" w:eastAsia="Times New Roman" w:hAnsi="Times New Roman" w:cs="Times New Roman"/>
          <w:b/>
          <w:sz w:val="28"/>
          <w:szCs w:val="28"/>
          <w:lang w:val="uk-UA" w:eastAsia="uk-UA"/>
        </w:rPr>
        <w:t>Основні поняття:</w:t>
      </w:r>
      <w:r w:rsidRPr="00DD73A8">
        <w:rPr>
          <w:rFonts w:ascii="Times New Roman" w:eastAsia="Times New Roman" w:hAnsi="Times New Roman" w:cs="Times New Roman"/>
          <w:color w:val="000000"/>
          <w:sz w:val="28"/>
          <w:szCs w:val="28"/>
          <w:lang w:val="uk-UA" w:eastAsia="uk-UA"/>
        </w:rPr>
        <w:t xml:space="preserve"> економічний ризик,</w:t>
      </w:r>
      <w:r w:rsidRPr="00DD73A8">
        <w:rPr>
          <w:rFonts w:ascii="Times New Roman" w:eastAsia="Times New Roman" w:hAnsi="Times New Roman" w:cs="Times New Roman"/>
          <w:sz w:val="28"/>
          <w:szCs w:val="28"/>
          <w:lang w:val="uk-UA" w:eastAsia="uk-UA"/>
        </w:rPr>
        <w:t xml:space="preserve"> призначення аналізу ризику, якісний аналіз ризику, кількісний аналіз ризику, методи оцінки ризику.</w:t>
      </w:r>
    </w:p>
    <w:p w:rsidR="000B476F" w:rsidRPr="00DD73A8" w:rsidRDefault="000B476F" w:rsidP="000B476F">
      <w:pPr>
        <w:spacing w:after="0" w:line="240" w:lineRule="auto"/>
        <w:jc w:val="both"/>
        <w:rPr>
          <w:rFonts w:ascii="Times New Roman" w:eastAsia="Times New Roman" w:hAnsi="Times New Roman" w:cs="Times New Roman"/>
          <w:sz w:val="28"/>
          <w:szCs w:val="28"/>
          <w:lang w:val="uk-UA" w:eastAsia="uk-UA"/>
        </w:rPr>
      </w:pPr>
    </w:p>
    <w:p w:rsidR="000B476F" w:rsidRPr="00DD73A8" w:rsidRDefault="000B476F" w:rsidP="000B476F">
      <w:pPr>
        <w:spacing w:after="0" w:line="240" w:lineRule="auto"/>
        <w:jc w:val="both"/>
        <w:rPr>
          <w:rFonts w:ascii="Times New Roman" w:eastAsia="Times New Roman" w:hAnsi="Times New Roman" w:cs="Times New Roman"/>
          <w:sz w:val="28"/>
          <w:szCs w:val="28"/>
          <w:lang w:val="uk-UA" w:eastAsia="uk-UA"/>
        </w:rPr>
      </w:pPr>
    </w:p>
    <w:p w:rsidR="000B476F" w:rsidRPr="00DD73A8" w:rsidRDefault="000B476F" w:rsidP="000B476F">
      <w:pPr>
        <w:spacing w:after="14" w:line="266" w:lineRule="auto"/>
        <w:ind w:right="57"/>
        <w:jc w:val="center"/>
        <w:rPr>
          <w:rFonts w:ascii="Times New Roman" w:eastAsia="Times New Roman" w:hAnsi="Times New Roman" w:cs="Times New Roman"/>
          <w:b/>
          <w:color w:val="000000"/>
          <w:sz w:val="28"/>
          <w:szCs w:val="28"/>
          <w:lang w:val="uk-UA" w:eastAsia="uk-UA"/>
        </w:rPr>
      </w:pPr>
      <w:r w:rsidRPr="00DD73A8">
        <w:rPr>
          <w:rFonts w:ascii="Times New Roman" w:eastAsia="Times New Roman" w:hAnsi="Times New Roman" w:cs="Times New Roman"/>
          <w:b/>
          <w:color w:val="000000"/>
          <w:sz w:val="28"/>
          <w:szCs w:val="28"/>
          <w:lang w:val="uk-UA" w:eastAsia="uk-UA"/>
        </w:rPr>
        <w:t>План</w:t>
      </w:r>
    </w:p>
    <w:p w:rsidR="000B476F" w:rsidRPr="00DD73A8" w:rsidRDefault="000B476F" w:rsidP="000B476F">
      <w:pPr>
        <w:tabs>
          <w:tab w:val="left" w:pos="1134"/>
        </w:tabs>
        <w:spacing w:after="14" w:line="266" w:lineRule="auto"/>
        <w:ind w:right="57"/>
        <w:jc w:val="both"/>
        <w:rPr>
          <w:rFonts w:ascii="Times New Roman" w:eastAsia="Times New Roman" w:hAnsi="Times New Roman" w:cs="Times New Roman"/>
          <w:b/>
          <w:color w:val="000000"/>
          <w:sz w:val="28"/>
          <w:szCs w:val="28"/>
          <w:lang w:val="uk-UA" w:eastAsia="uk-UA"/>
        </w:rPr>
      </w:pPr>
      <w:r w:rsidRPr="00DD73A8">
        <w:rPr>
          <w:rFonts w:ascii="Times New Roman" w:eastAsia="Times New Roman" w:hAnsi="Times New Roman" w:cs="Times New Roman"/>
          <w:color w:val="000000"/>
          <w:sz w:val="28"/>
          <w:szCs w:val="28"/>
          <w:lang w:val="uk-UA" w:eastAsia="uk-UA"/>
        </w:rPr>
        <w:tab/>
        <w:t>1. </w:t>
      </w:r>
      <w:r w:rsidRPr="00DD73A8">
        <w:rPr>
          <w:rFonts w:ascii="Times New Roman" w:eastAsia="Times New Roman" w:hAnsi="Times New Roman" w:cs="Times New Roman"/>
          <w:color w:val="000000"/>
          <w:sz w:val="28"/>
          <w:szCs w:val="28"/>
          <w:lang w:eastAsia="uk-UA"/>
        </w:rPr>
        <w:t>Зони ризику залежно від величини збитків</w:t>
      </w:r>
      <w:r w:rsidRPr="00DD73A8">
        <w:rPr>
          <w:rFonts w:ascii="Times New Roman" w:eastAsia="Times New Roman" w:hAnsi="Times New Roman" w:cs="Times New Roman"/>
          <w:color w:val="000000"/>
          <w:sz w:val="28"/>
          <w:szCs w:val="28"/>
          <w:lang w:val="uk-UA" w:eastAsia="uk-UA"/>
        </w:rPr>
        <w:t>.</w:t>
      </w:r>
      <w:r w:rsidRPr="00DD73A8">
        <w:rPr>
          <w:rFonts w:ascii="Times New Roman" w:eastAsia="Times New Roman" w:hAnsi="Times New Roman" w:cs="Times New Roman"/>
          <w:b/>
          <w:color w:val="000000"/>
          <w:sz w:val="28"/>
          <w:szCs w:val="28"/>
          <w:lang w:val="uk-UA" w:eastAsia="uk-UA"/>
        </w:rPr>
        <w:t xml:space="preserve"> </w:t>
      </w:r>
    </w:p>
    <w:p w:rsidR="000B476F" w:rsidRPr="00DD73A8" w:rsidRDefault="000B476F" w:rsidP="000B476F">
      <w:pPr>
        <w:tabs>
          <w:tab w:val="left" w:pos="1134"/>
        </w:tabs>
        <w:spacing w:after="14" w:line="266" w:lineRule="auto"/>
        <w:ind w:right="57"/>
        <w:jc w:val="both"/>
        <w:rPr>
          <w:rFonts w:ascii="Times New Roman" w:eastAsia="Times New Roman" w:hAnsi="Times New Roman" w:cs="Times New Roman"/>
          <w:color w:val="000000"/>
          <w:sz w:val="28"/>
          <w:szCs w:val="28"/>
          <w:lang w:val="uk-UA" w:eastAsia="uk-UA"/>
        </w:rPr>
      </w:pPr>
      <w:r w:rsidRPr="00DD73A8">
        <w:rPr>
          <w:rFonts w:ascii="Times New Roman" w:eastAsia="Times New Roman" w:hAnsi="Times New Roman" w:cs="Times New Roman"/>
          <w:color w:val="000000"/>
          <w:sz w:val="28"/>
          <w:szCs w:val="28"/>
          <w:lang w:val="uk-UA" w:eastAsia="uk-UA"/>
        </w:rPr>
        <w:tab/>
        <w:t>2. Крива імовірності збитків.</w:t>
      </w:r>
    </w:p>
    <w:p w:rsidR="000B476F" w:rsidRPr="00DD73A8" w:rsidRDefault="000B476F" w:rsidP="000B476F">
      <w:pPr>
        <w:tabs>
          <w:tab w:val="left" w:pos="1134"/>
        </w:tabs>
        <w:spacing w:after="14" w:line="266" w:lineRule="auto"/>
        <w:ind w:right="57"/>
        <w:jc w:val="both"/>
        <w:rPr>
          <w:rFonts w:ascii="Times New Roman" w:eastAsia="Times New Roman" w:hAnsi="Times New Roman" w:cs="Times New Roman"/>
          <w:color w:val="000000"/>
          <w:sz w:val="28"/>
          <w:szCs w:val="28"/>
          <w:lang w:val="uk-UA" w:eastAsia="uk-UA"/>
        </w:rPr>
      </w:pPr>
      <w:r w:rsidRPr="00DD73A8">
        <w:rPr>
          <w:rFonts w:ascii="Times New Roman" w:eastAsia="Times New Roman" w:hAnsi="Times New Roman" w:cs="Times New Roman"/>
          <w:color w:val="000000"/>
          <w:sz w:val="28"/>
          <w:szCs w:val="28"/>
          <w:lang w:val="uk-UA" w:eastAsia="uk-UA"/>
        </w:rPr>
        <w:tab/>
        <w:t>3. Методи оцінювання економічного ризику.</w:t>
      </w:r>
    </w:p>
    <w:p w:rsidR="000B476F" w:rsidRPr="00DD73A8" w:rsidRDefault="000B476F" w:rsidP="000B476F">
      <w:pPr>
        <w:spacing w:after="26" w:line="256" w:lineRule="auto"/>
        <w:rPr>
          <w:rFonts w:ascii="Times New Roman" w:eastAsia="Times New Roman" w:hAnsi="Times New Roman" w:cs="Times New Roman"/>
          <w:color w:val="000000"/>
          <w:sz w:val="28"/>
          <w:szCs w:val="28"/>
          <w:lang w:val="uk-UA" w:eastAsia="uk-UA"/>
        </w:rPr>
      </w:pPr>
    </w:p>
    <w:p w:rsidR="000B476F" w:rsidRPr="00DD73A8" w:rsidRDefault="000B476F" w:rsidP="000B476F">
      <w:pPr>
        <w:keepNext/>
        <w:keepLines/>
        <w:spacing w:after="5" w:line="268" w:lineRule="auto"/>
        <w:ind w:firstLine="709"/>
        <w:jc w:val="both"/>
        <w:rPr>
          <w:rFonts w:ascii="Times New Roman" w:eastAsia="Times New Roman" w:hAnsi="Times New Roman" w:cs="Times New Roman"/>
          <w:b/>
          <w:i/>
          <w:color w:val="000000"/>
          <w:sz w:val="28"/>
          <w:szCs w:val="28"/>
          <w:u w:val="single"/>
          <w:lang w:val="uk-UA" w:eastAsia="uk-UA"/>
        </w:rPr>
      </w:pPr>
      <w:r w:rsidRPr="00DD73A8">
        <w:rPr>
          <w:rFonts w:ascii="Times New Roman" w:eastAsia="Times New Roman" w:hAnsi="Times New Roman" w:cs="Times New Roman"/>
          <w:b/>
          <w:i/>
          <w:color w:val="000000"/>
          <w:sz w:val="28"/>
          <w:szCs w:val="28"/>
          <w:u w:val="single"/>
          <w:lang w:val="uk-UA" w:eastAsia="uk-UA"/>
        </w:rPr>
        <w:t>1. </w:t>
      </w:r>
      <w:r w:rsidRPr="00DD73A8">
        <w:rPr>
          <w:rFonts w:ascii="Times New Roman" w:eastAsia="Times New Roman" w:hAnsi="Times New Roman" w:cs="Times New Roman"/>
          <w:b/>
          <w:i/>
          <w:color w:val="000000"/>
          <w:sz w:val="28"/>
          <w:szCs w:val="28"/>
          <w:u w:val="single"/>
          <w:lang w:eastAsia="uk-UA"/>
        </w:rPr>
        <w:t>Зони ризику залежно від величини збитків</w:t>
      </w:r>
      <w:r w:rsidRPr="00DD73A8">
        <w:rPr>
          <w:rFonts w:ascii="Times New Roman" w:eastAsia="Times New Roman" w:hAnsi="Times New Roman" w:cs="Times New Roman"/>
          <w:b/>
          <w:i/>
          <w:color w:val="000000"/>
          <w:sz w:val="28"/>
          <w:szCs w:val="28"/>
          <w:u w:val="single"/>
          <w:lang w:val="uk-UA" w:eastAsia="uk-UA"/>
        </w:rPr>
        <w:t xml:space="preserve">. </w:t>
      </w: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val="uk-UA" w:eastAsia="uk-UA"/>
        </w:rPr>
        <w:t xml:space="preserve">Ризик є імовірною категорією, тому з наукового погляду його слід характеризувати як імовірність виникнення певного рівня збитків. </w:t>
      </w:r>
      <w:r w:rsidRPr="00DD73A8">
        <w:rPr>
          <w:rFonts w:ascii="Times New Roman" w:eastAsia="Times New Roman" w:hAnsi="Times New Roman" w:cs="Times New Roman"/>
          <w:color w:val="000000"/>
          <w:sz w:val="28"/>
          <w:szCs w:val="28"/>
          <w:lang w:eastAsia="uk-UA"/>
        </w:rPr>
        <w:t xml:space="preserve">Економічний ризик має абсолютне і відносне вираження. </w:t>
      </w: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В абсолютному вираженні</w:t>
      </w:r>
      <w:r w:rsidRPr="00DD73A8">
        <w:rPr>
          <w:rFonts w:ascii="Times New Roman" w:eastAsia="Times New Roman" w:hAnsi="Times New Roman" w:cs="Times New Roman"/>
          <w:color w:val="000000"/>
          <w:sz w:val="28"/>
          <w:szCs w:val="28"/>
          <w:lang w:eastAsia="uk-UA"/>
        </w:rPr>
        <w:t xml:space="preserve"> він визначається як кількісні зміни в грошовому та натуральному вигляді отриманих збитків. </w:t>
      </w: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У</w:t>
      </w:r>
      <w:r w:rsidRPr="00DD73A8">
        <w:rPr>
          <w:rFonts w:ascii="Times New Roman" w:eastAsia="Times New Roman" w:hAnsi="Times New Roman" w:cs="Times New Roman"/>
          <w:i/>
          <w:color w:val="000000"/>
          <w:sz w:val="28"/>
          <w:szCs w:val="28"/>
          <w:lang w:eastAsia="uk-UA"/>
        </w:rPr>
        <w:t xml:space="preserve"> відносному вираженні</w:t>
      </w:r>
      <w:r w:rsidRPr="00DD73A8">
        <w:rPr>
          <w:rFonts w:ascii="Times New Roman" w:eastAsia="Times New Roman" w:hAnsi="Times New Roman" w:cs="Times New Roman"/>
          <w:color w:val="000000"/>
          <w:sz w:val="28"/>
          <w:szCs w:val="28"/>
          <w:lang w:eastAsia="uk-UA"/>
        </w:rPr>
        <w:t xml:space="preserve"> – як відношення суми отриманого </w:t>
      </w:r>
      <w:proofErr w:type="gramStart"/>
      <w:r w:rsidRPr="00DD73A8">
        <w:rPr>
          <w:rFonts w:ascii="Times New Roman" w:eastAsia="Times New Roman" w:hAnsi="Times New Roman" w:cs="Times New Roman"/>
          <w:color w:val="000000"/>
          <w:sz w:val="28"/>
          <w:szCs w:val="28"/>
          <w:lang w:eastAsia="uk-UA"/>
        </w:rPr>
        <w:t>збитку  до</w:t>
      </w:r>
      <w:proofErr w:type="gramEnd"/>
      <w:r w:rsidRPr="00DD73A8">
        <w:rPr>
          <w:rFonts w:ascii="Times New Roman" w:eastAsia="Times New Roman" w:hAnsi="Times New Roman" w:cs="Times New Roman"/>
          <w:color w:val="000000"/>
          <w:sz w:val="28"/>
          <w:szCs w:val="28"/>
          <w:lang w:eastAsia="uk-UA"/>
        </w:rPr>
        <w:t xml:space="preserve"> якоїсь бази (майно, прибуток та ін.). </w:t>
      </w: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Призначення аналізу ризику – надати потенційним партнерам необхідні дані для прийняття рішення стосовно доцільності участі у проекті та передбачити заходи щодо захисту від можливих фінансових втрат. Аналіз ризику проводиться послідовно. При аналізі ризику будь-якого учасника проекту використовуються такі критерії: </w:t>
      </w:r>
    </w:p>
    <w:p w:rsidR="000B476F" w:rsidRPr="00DD73A8" w:rsidRDefault="000B476F" w:rsidP="000B476F">
      <w:pPr>
        <w:numPr>
          <w:ilvl w:val="0"/>
          <w:numId w:val="1"/>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втрати від ризику незалежні одна від одної; </w:t>
      </w:r>
    </w:p>
    <w:p w:rsidR="000B476F" w:rsidRPr="00DD73A8" w:rsidRDefault="000B476F" w:rsidP="000B476F">
      <w:pPr>
        <w:numPr>
          <w:ilvl w:val="0"/>
          <w:numId w:val="1"/>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втрата за одним з напрямів «портфеля ризиків» не обов’язково збільшує вірогідність втрати за іншими (за виключенням форс-мажорних обставин); </w:t>
      </w:r>
    </w:p>
    <w:p w:rsidR="000B476F" w:rsidRPr="00DD73A8" w:rsidRDefault="000B476F" w:rsidP="000B476F">
      <w:pPr>
        <w:numPr>
          <w:ilvl w:val="0"/>
          <w:numId w:val="1"/>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максимально можливі збитки не повинні перевищувати фінансові можливості учасника. </w:t>
      </w: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Аналіз ризиків можна поділити на два взаємодоповнюючих один одного види: якісний і кількісний. </w:t>
      </w: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Головне завдання якісного аналізу – визначити фактори ризику, етапи робіт, при виконанні яких ризик виникає, тобто встановити потенційні галузі ризику, після чого ідентифікувати всі можливі ризики. </w:t>
      </w: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Кількісний аналіз ризику, тобто числове визначення розмірів певних ризиків і ризику проекту в цілому – проблема більш складна.  </w:t>
      </w: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Карта переваг часто обмежується зонами ризику, до яких відносять: </w:t>
      </w:r>
    </w:p>
    <w:p w:rsidR="000B476F" w:rsidRPr="00DD73A8" w:rsidRDefault="000B476F" w:rsidP="000B476F">
      <w:pPr>
        <w:spacing w:after="14" w:line="266" w:lineRule="auto"/>
        <w:ind w:right="57" w:firstLine="552"/>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val="uk-UA" w:eastAsia="uk-UA"/>
        </w:rPr>
        <w:lastRenderedPageBreak/>
        <w:t xml:space="preserve">1. </w:t>
      </w:r>
      <w:r w:rsidRPr="00DD73A8">
        <w:rPr>
          <w:rFonts w:ascii="Times New Roman" w:eastAsia="Times New Roman" w:hAnsi="Times New Roman" w:cs="Times New Roman"/>
          <w:i/>
          <w:color w:val="000000"/>
          <w:sz w:val="28"/>
          <w:szCs w:val="28"/>
          <w:lang w:eastAsia="uk-UA"/>
        </w:rPr>
        <w:t>безризикову зону</w:t>
      </w:r>
      <w:r w:rsidRPr="00DD73A8">
        <w:rPr>
          <w:rFonts w:ascii="Times New Roman" w:eastAsia="Times New Roman" w:hAnsi="Times New Roman" w:cs="Times New Roman"/>
          <w:color w:val="000000"/>
          <w:sz w:val="28"/>
          <w:szCs w:val="28"/>
          <w:lang w:eastAsia="uk-UA"/>
        </w:rPr>
        <w:t xml:space="preserve"> – зону, у якій втрати не очікуються або спостерігається перевищення прибутку; </w:t>
      </w:r>
    </w:p>
    <w:p w:rsidR="000B476F" w:rsidRPr="00DD73A8" w:rsidRDefault="000B476F" w:rsidP="000B476F">
      <w:pPr>
        <w:spacing w:after="14" w:line="266" w:lineRule="auto"/>
        <w:ind w:right="57" w:firstLine="552"/>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val="uk-UA" w:eastAsia="uk-UA"/>
        </w:rPr>
        <w:t xml:space="preserve">2. </w:t>
      </w:r>
      <w:r w:rsidRPr="00DD73A8">
        <w:rPr>
          <w:rFonts w:ascii="Times New Roman" w:eastAsia="Times New Roman" w:hAnsi="Times New Roman" w:cs="Times New Roman"/>
          <w:i/>
          <w:color w:val="000000"/>
          <w:sz w:val="28"/>
          <w:szCs w:val="28"/>
          <w:lang w:eastAsia="uk-UA"/>
        </w:rPr>
        <w:t>зону припустимого ризику</w:t>
      </w:r>
      <w:r w:rsidRPr="00DD73A8">
        <w:rPr>
          <w:rFonts w:ascii="Times New Roman" w:eastAsia="Times New Roman" w:hAnsi="Times New Roman" w:cs="Times New Roman"/>
          <w:color w:val="000000"/>
          <w:sz w:val="28"/>
          <w:szCs w:val="28"/>
          <w:lang w:eastAsia="uk-UA"/>
        </w:rPr>
        <w:t xml:space="preserve"> – ділянка, </w:t>
      </w:r>
      <w:proofErr w:type="gramStart"/>
      <w:r w:rsidRPr="00DD73A8">
        <w:rPr>
          <w:rFonts w:ascii="Times New Roman" w:eastAsia="Times New Roman" w:hAnsi="Times New Roman" w:cs="Times New Roman"/>
          <w:color w:val="000000"/>
          <w:sz w:val="28"/>
          <w:szCs w:val="28"/>
          <w:lang w:eastAsia="uk-UA"/>
        </w:rPr>
        <w:t>у межах</w:t>
      </w:r>
      <w:proofErr w:type="gramEnd"/>
      <w:r w:rsidRPr="00DD73A8">
        <w:rPr>
          <w:rFonts w:ascii="Times New Roman" w:eastAsia="Times New Roman" w:hAnsi="Times New Roman" w:cs="Times New Roman"/>
          <w:color w:val="000000"/>
          <w:sz w:val="28"/>
          <w:szCs w:val="28"/>
          <w:lang w:eastAsia="uk-UA"/>
        </w:rPr>
        <w:t xml:space="preserve"> якої певний вид підприємницької діяльності зберігає свою доцільність; втрати мають місце, але менші за очікуваний прибуток. У цьому випадку максимально, що може втратити підприємець, – це частина прибутку або весь прибуток. Тобто він ризикує не одержати прибуток чи одержати його лише частково. Та оскільки витрати виробництва і оборотність коштів підприємець відшкодовує, то існує лише небезпека, що операція пройде марно, не принесе очікуваного доходу, який перевищує витрати; </w:t>
      </w:r>
    </w:p>
    <w:p w:rsidR="000B476F" w:rsidRPr="00DD73A8" w:rsidRDefault="000B476F" w:rsidP="000B476F">
      <w:pPr>
        <w:spacing w:after="14" w:line="266" w:lineRule="auto"/>
        <w:ind w:right="57" w:firstLine="552"/>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val="uk-UA" w:eastAsia="uk-UA"/>
        </w:rPr>
        <w:t xml:space="preserve">3. </w:t>
      </w:r>
      <w:r w:rsidRPr="00DD73A8">
        <w:rPr>
          <w:rFonts w:ascii="Times New Roman" w:eastAsia="Times New Roman" w:hAnsi="Times New Roman" w:cs="Times New Roman"/>
          <w:i/>
          <w:color w:val="000000"/>
          <w:sz w:val="28"/>
          <w:szCs w:val="28"/>
          <w:lang w:eastAsia="uk-UA"/>
        </w:rPr>
        <w:t>зону критичного ризику</w:t>
      </w:r>
      <w:r w:rsidRPr="00DD73A8">
        <w:rPr>
          <w:rFonts w:ascii="Times New Roman" w:eastAsia="Times New Roman" w:hAnsi="Times New Roman" w:cs="Times New Roman"/>
          <w:color w:val="000000"/>
          <w:sz w:val="28"/>
          <w:szCs w:val="28"/>
          <w:lang w:eastAsia="uk-UA"/>
        </w:rPr>
        <w:t xml:space="preserve"> – ділянку, що характеризується можливістю втрат, які перевищують величину очікуваного прибутку аж до величини повного розрахункової виручки, що являє собою суму витрат і прибутку. Такі втрати доведеться відшкодувати з кишені підприємця. Тобто він втрачає не тільки прибуток, а й не може відшкодувати витрати; </w:t>
      </w:r>
    </w:p>
    <w:p w:rsidR="000B476F" w:rsidRPr="00DD73A8" w:rsidRDefault="000B476F" w:rsidP="000B476F">
      <w:pPr>
        <w:spacing w:after="14" w:line="266" w:lineRule="auto"/>
        <w:ind w:right="57" w:firstLine="552"/>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val="uk-UA" w:eastAsia="uk-UA"/>
        </w:rPr>
        <w:t xml:space="preserve">4. </w:t>
      </w:r>
      <w:r w:rsidRPr="00DD73A8">
        <w:rPr>
          <w:rFonts w:ascii="Times New Roman" w:eastAsia="Times New Roman" w:hAnsi="Times New Roman" w:cs="Times New Roman"/>
          <w:i/>
          <w:color w:val="000000"/>
          <w:sz w:val="28"/>
          <w:szCs w:val="28"/>
          <w:lang w:eastAsia="uk-UA"/>
        </w:rPr>
        <w:t>зону катастрофічного ризику</w:t>
      </w:r>
      <w:r w:rsidRPr="00DD73A8">
        <w:rPr>
          <w:rFonts w:ascii="Times New Roman" w:eastAsia="Times New Roman" w:hAnsi="Times New Roman" w:cs="Times New Roman"/>
          <w:color w:val="000000"/>
          <w:sz w:val="28"/>
          <w:szCs w:val="28"/>
          <w:lang w:eastAsia="uk-UA"/>
        </w:rPr>
        <w:t xml:space="preserve"> – ділянку втрат, що перевершує критичний рівень і в максимумі може досягати величини, яка дорівнює майновому стану підприємства; </w:t>
      </w:r>
    </w:p>
    <w:p w:rsidR="000B476F" w:rsidRPr="00DD73A8" w:rsidRDefault="000B476F" w:rsidP="000B476F">
      <w:pPr>
        <w:spacing w:after="14" w:line="266" w:lineRule="auto"/>
        <w:ind w:right="57" w:firstLine="552"/>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5. катастрофічний ризик</w:t>
      </w:r>
      <w:r w:rsidRPr="00DD73A8">
        <w:rPr>
          <w:rFonts w:ascii="Times New Roman" w:eastAsia="Times New Roman" w:hAnsi="Times New Roman" w:cs="Times New Roman"/>
          <w:color w:val="000000"/>
          <w:sz w:val="28"/>
          <w:szCs w:val="28"/>
          <w:lang w:eastAsia="uk-UA"/>
        </w:rPr>
        <w:t xml:space="preserve">, здатний призвести до </w:t>
      </w:r>
      <w:r w:rsidRPr="00DD73A8">
        <w:rPr>
          <w:rFonts w:ascii="Times New Roman" w:eastAsia="Times New Roman" w:hAnsi="Times New Roman" w:cs="Times New Roman"/>
          <w:i/>
          <w:color w:val="000000"/>
          <w:sz w:val="28"/>
          <w:szCs w:val="28"/>
          <w:lang w:eastAsia="uk-UA"/>
        </w:rPr>
        <w:t>банкрутства підприємства</w:t>
      </w:r>
      <w:r w:rsidRPr="00DD73A8">
        <w:rPr>
          <w:rFonts w:ascii="Times New Roman" w:eastAsia="Times New Roman" w:hAnsi="Times New Roman" w:cs="Times New Roman"/>
          <w:color w:val="000000"/>
          <w:sz w:val="28"/>
          <w:szCs w:val="28"/>
          <w:lang w:eastAsia="uk-UA"/>
        </w:rPr>
        <w:t xml:space="preserve">, його закриття і розпродажу майна. Отже, імовірність катастрофічних втрат повинна бути гранично низькою, близькою до нуля. Інакше не варто починати справу (рис. </w:t>
      </w:r>
      <w:r w:rsidRPr="00DD73A8">
        <w:rPr>
          <w:rFonts w:ascii="Times New Roman" w:eastAsia="Times New Roman" w:hAnsi="Times New Roman" w:cs="Times New Roman"/>
          <w:color w:val="000000"/>
          <w:sz w:val="28"/>
          <w:szCs w:val="28"/>
          <w:lang w:val="uk-UA" w:eastAsia="uk-UA"/>
        </w:rPr>
        <w:t>2</w:t>
      </w:r>
      <w:r w:rsidRPr="00DD73A8">
        <w:rPr>
          <w:rFonts w:ascii="Times New Roman" w:eastAsia="Times New Roman" w:hAnsi="Times New Roman" w:cs="Times New Roman"/>
          <w:color w:val="000000"/>
          <w:sz w:val="28"/>
          <w:szCs w:val="28"/>
          <w:lang w:eastAsia="uk-UA"/>
        </w:rPr>
        <w:t>.1).</w:t>
      </w:r>
    </w:p>
    <w:p w:rsidR="000B476F" w:rsidRPr="00DD73A8" w:rsidRDefault="000B476F" w:rsidP="000B476F">
      <w:pPr>
        <w:spacing w:after="14" w:line="266" w:lineRule="auto"/>
        <w:ind w:right="57"/>
        <w:jc w:val="both"/>
        <w:rPr>
          <w:rFonts w:ascii="Calibri" w:eastAsia="Calibri" w:hAnsi="Calibri" w:cs="Times New Roman"/>
          <w:noProof/>
        </w:rPr>
      </w:pPr>
    </w:p>
    <w:p w:rsidR="000B476F" w:rsidRPr="00DD73A8" w:rsidRDefault="000B476F" w:rsidP="000B476F">
      <w:p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Calibri" w:eastAsia="Calibri" w:hAnsi="Calibri" w:cs="Times New Roman"/>
          <w:noProof/>
          <w:lang w:eastAsia="ru-RU"/>
        </w:rPr>
        <w:drawing>
          <wp:inline distT="0" distB="0" distL="0" distR="0" wp14:anchorId="2EEE8ED5" wp14:editId="10EA5873">
            <wp:extent cx="3223260" cy="6080760"/>
            <wp:effectExtent l="0" t="0" r="0" b="0"/>
            <wp:docPr id="7" name="Picture 6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1"/>
                    <pic:cNvPicPr>
                      <a:picLocks noChangeAspect="1" noChangeArrowheads="1"/>
                    </pic:cNvPicPr>
                  </pic:nvPicPr>
                  <pic:blipFill>
                    <a:blip r:embed="rId6" cstate="print">
                      <a:extLst>
                        <a:ext uri="{28A0092B-C50C-407E-A947-70E740481C1C}">
                          <a14:useLocalDpi xmlns:a14="http://schemas.microsoft.com/office/drawing/2010/main" val="0"/>
                        </a:ext>
                      </a:extLst>
                    </a:blip>
                    <a:srcRect r="16103"/>
                    <a:stretch>
                      <a:fillRect/>
                    </a:stretch>
                  </pic:blipFill>
                  <pic:spPr bwMode="auto">
                    <a:xfrm rot="5400000">
                      <a:off x="0" y="0"/>
                      <a:ext cx="3223260" cy="6080760"/>
                    </a:xfrm>
                    <a:prstGeom prst="rect">
                      <a:avLst/>
                    </a:prstGeom>
                    <a:noFill/>
                    <a:ln>
                      <a:noFill/>
                    </a:ln>
                  </pic:spPr>
                </pic:pic>
              </a:graphicData>
            </a:graphic>
          </wp:inline>
        </w:drawing>
      </w:r>
    </w:p>
    <w:p w:rsidR="000B476F" w:rsidRPr="00DD73A8" w:rsidRDefault="000B476F" w:rsidP="000B476F">
      <w:pPr>
        <w:spacing w:after="14" w:line="266" w:lineRule="auto"/>
        <w:ind w:right="57" w:firstLine="552"/>
        <w:jc w:val="both"/>
        <w:rPr>
          <w:rFonts w:ascii="Times New Roman" w:eastAsia="Times New Roman" w:hAnsi="Times New Roman" w:cs="Times New Roman"/>
          <w:color w:val="000000"/>
          <w:sz w:val="28"/>
          <w:szCs w:val="28"/>
          <w:lang w:val="uk-UA" w:eastAsia="uk-UA"/>
        </w:rPr>
      </w:pPr>
      <w:r w:rsidRPr="00DD73A8">
        <w:rPr>
          <w:rFonts w:ascii="Times New Roman" w:eastAsia="Times New Roman" w:hAnsi="Times New Roman" w:cs="Times New Roman"/>
          <w:color w:val="000000"/>
          <w:sz w:val="28"/>
          <w:szCs w:val="28"/>
          <w:lang w:eastAsia="uk-UA"/>
        </w:rPr>
        <w:t>Рисунок</w:t>
      </w:r>
      <w:r w:rsidRPr="00DD73A8">
        <w:rPr>
          <w:rFonts w:ascii="Times New Roman" w:eastAsia="Times New Roman" w:hAnsi="Times New Roman" w:cs="Times New Roman"/>
          <w:color w:val="000000"/>
          <w:sz w:val="28"/>
          <w:szCs w:val="28"/>
          <w:lang w:val="uk-UA" w:eastAsia="uk-UA"/>
        </w:rPr>
        <w:t xml:space="preserve"> 2.1 – Схема зон ризику і характериних точок</w:t>
      </w:r>
    </w:p>
    <w:p w:rsidR="000B476F" w:rsidRPr="00DD73A8" w:rsidRDefault="000B476F" w:rsidP="000B476F">
      <w:pPr>
        <w:spacing w:after="14" w:line="266" w:lineRule="auto"/>
        <w:ind w:right="57" w:firstLine="552"/>
        <w:jc w:val="both"/>
        <w:rPr>
          <w:rFonts w:ascii="Times New Roman" w:eastAsia="Times New Roman" w:hAnsi="Times New Roman" w:cs="Times New Roman"/>
          <w:b/>
          <w:i/>
          <w:color w:val="000000"/>
          <w:sz w:val="28"/>
          <w:szCs w:val="28"/>
          <w:u w:val="single"/>
          <w:lang w:val="uk-UA" w:eastAsia="uk-UA"/>
        </w:rPr>
      </w:pPr>
    </w:p>
    <w:p w:rsidR="000B476F" w:rsidRPr="00DD73A8" w:rsidRDefault="000B476F" w:rsidP="000B476F">
      <w:pPr>
        <w:spacing w:after="14" w:line="266" w:lineRule="auto"/>
        <w:ind w:right="57" w:firstLine="552"/>
        <w:jc w:val="both"/>
        <w:rPr>
          <w:rFonts w:ascii="Times New Roman" w:eastAsia="Times New Roman" w:hAnsi="Times New Roman" w:cs="Times New Roman"/>
          <w:b/>
          <w:i/>
          <w:color w:val="000000"/>
          <w:sz w:val="28"/>
          <w:szCs w:val="28"/>
          <w:u w:val="single"/>
          <w:lang w:val="uk-UA" w:eastAsia="uk-UA"/>
        </w:rPr>
      </w:pPr>
      <w:r w:rsidRPr="00DD73A8">
        <w:rPr>
          <w:rFonts w:ascii="Times New Roman" w:eastAsia="Times New Roman" w:hAnsi="Times New Roman" w:cs="Times New Roman"/>
          <w:b/>
          <w:i/>
          <w:color w:val="000000"/>
          <w:sz w:val="28"/>
          <w:szCs w:val="28"/>
          <w:u w:val="single"/>
          <w:lang w:val="uk-UA" w:eastAsia="uk-UA"/>
        </w:rPr>
        <w:t xml:space="preserve">2. Крива імовірності збитків </w:t>
      </w:r>
    </w:p>
    <w:p w:rsidR="000B476F" w:rsidRPr="00DD73A8" w:rsidRDefault="000B476F" w:rsidP="000B476F">
      <w:pPr>
        <w:spacing w:after="14" w:line="266" w:lineRule="auto"/>
        <w:ind w:right="57" w:firstLine="552"/>
        <w:jc w:val="both"/>
        <w:rPr>
          <w:rFonts w:ascii="Times New Roman" w:eastAsia="Times New Roman" w:hAnsi="Times New Roman" w:cs="Times New Roman"/>
          <w:color w:val="000000"/>
          <w:sz w:val="28"/>
          <w:szCs w:val="28"/>
          <w:lang w:val="uk-UA" w:eastAsia="uk-UA"/>
        </w:rPr>
      </w:pPr>
      <w:r w:rsidRPr="00DD73A8">
        <w:rPr>
          <w:rFonts w:ascii="Times New Roman" w:eastAsia="Times New Roman" w:hAnsi="Times New Roman" w:cs="Times New Roman"/>
          <w:color w:val="000000"/>
          <w:sz w:val="28"/>
          <w:szCs w:val="28"/>
          <w:lang w:val="uk-UA" w:eastAsia="uk-UA"/>
        </w:rPr>
        <w:lastRenderedPageBreak/>
        <w:t xml:space="preserve">Найбільш повне уявлення про ризик дає крива розподілу імовірності втрат. Це графічне зображення залежності імовірності витрат від їхнього рівня, що показує, наскільки імовірне виникнення тих чи інших витрат. Щоб установити вид типової кривої розподілу імовірності витрат, розглянемо прибуток як випадкову величину і побудуємо криву розподілу імовірності одержання визначеного рівня прибутку (рис. 2.2). </w:t>
      </w:r>
    </w:p>
    <w:p w:rsidR="000B476F" w:rsidRPr="00DD73A8" w:rsidRDefault="000B476F" w:rsidP="000B476F">
      <w:pPr>
        <w:spacing w:after="14" w:line="266" w:lineRule="auto"/>
        <w:ind w:right="57"/>
        <w:jc w:val="both"/>
        <w:rPr>
          <w:rFonts w:ascii="Times New Roman" w:eastAsia="Times New Roman" w:hAnsi="Times New Roman" w:cs="Times New Roman"/>
          <w:color w:val="000000"/>
          <w:sz w:val="28"/>
          <w:szCs w:val="28"/>
          <w:lang w:val="uk-UA" w:eastAsia="uk-UA"/>
        </w:rPr>
      </w:pPr>
    </w:p>
    <w:p w:rsidR="000B476F" w:rsidRPr="00DD73A8" w:rsidRDefault="000B476F" w:rsidP="000B476F">
      <w:pPr>
        <w:spacing w:after="14" w:line="266" w:lineRule="auto"/>
        <w:ind w:right="57"/>
        <w:jc w:val="both"/>
        <w:rPr>
          <w:rFonts w:ascii="Times New Roman" w:eastAsia="Times New Roman" w:hAnsi="Times New Roman" w:cs="Times New Roman"/>
          <w:color w:val="000000"/>
          <w:sz w:val="28"/>
          <w:szCs w:val="28"/>
          <w:lang w:val="uk-UA" w:eastAsia="uk-UA"/>
        </w:rPr>
      </w:pPr>
      <w:r w:rsidRPr="00DD73A8">
        <w:rPr>
          <w:rFonts w:ascii="Calibri" w:eastAsia="Calibri" w:hAnsi="Calibri" w:cs="Times New Roman"/>
          <w:noProof/>
          <w:lang w:eastAsia="ru-RU"/>
        </w:rPr>
        <w:drawing>
          <wp:inline distT="0" distB="0" distL="0" distR="0" wp14:anchorId="094FE9CE" wp14:editId="59C935E3">
            <wp:extent cx="6004560" cy="2080260"/>
            <wp:effectExtent l="0" t="0" r="0" b="0"/>
            <wp:docPr id="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4560" cy="2080260"/>
                    </a:xfrm>
                    <a:prstGeom prst="rect">
                      <a:avLst/>
                    </a:prstGeom>
                    <a:noFill/>
                    <a:ln>
                      <a:noFill/>
                    </a:ln>
                  </pic:spPr>
                </pic:pic>
              </a:graphicData>
            </a:graphic>
          </wp:inline>
        </w:drawing>
      </w:r>
    </w:p>
    <w:p w:rsidR="000B476F" w:rsidRPr="00DD73A8" w:rsidRDefault="000B476F" w:rsidP="000B476F">
      <w:pPr>
        <w:spacing w:after="14" w:line="266" w:lineRule="auto"/>
        <w:ind w:right="57" w:firstLine="552"/>
        <w:jc w:val="both"/>
        <w:rPr>
          <w:rFonts w:ascii="Times New Roman" w:eastAsia="Times New Roman" w:hAnsi="Times New Roman" w:cs="Times New Roman"/>
          <w:color w:val="000000"/>
          <w:sz w:val="28"/>
          <w:szCs w:val="28"/>
          <w:lang w:val="uk-UA" w:eastAsia="uk-UA"/>
        </w:rPr>
      </w:pP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Рис</w:t>
      </w:r>
      <w:r w:rsidRPr="00DD73A8">
        <w:rPr>
          <w:rFonts w:ascii="Times New Roman" w:eastAsia="Times New Roman" w:hAnsi="Times New Roman" w:cs="Times New Roman"/>
          <w:color w:val="000000"/>
          <w:sz w:val="28"/>
          <w:szCs w:val="28"/>
          <w:lang w:val="uk-UA" w:eastAsia="uk-UA"/>
        </w:rPr>
        <w:t>унок 2</w:t>
      </w:r>
      <w:r w:rsidRPr="00DD73A8">
        <w:rPr>
          <w:rFonts w:ascii="Times New Roman" w:eastAsia="Times New Roman" w:hAnsi="Times New Roman" w:cs="Times New Roman"/>
          <w:color w:val="000000"/>
          <w:sz w:val="28"/>
          <w:szCs w:val="28"/>
          <w:lang w:eastAsia="uk-UA"/>
        </w:rPr>
        <w:t>.2</w:t>
      </w:r>
      <w:r w:rsidRPr="00DD73A8">
        <w:rPr>
          <w:rFonts w:ascii="Times New Roman" w:eastAsia="Times New Roman" w:hAnsi="Times New Roman" w:cs="Times New Roman"/>
          <w:color w:val="000000"/>
          <w:sz w:val="28"/>
          <w:szCs w:val="28"/>
          <w:lang w:val="uk-UA" w:eastAsia="uk-UA"/>
        </w:rPr>
        <w:t xml:space="preserve"> - </w:t>
      </w:r>
      <w:r w:rsidRPr="00DD73A8">
        <w:rPr>
          <w:rFonts w:ascii="Times New Roman" w:eastAsia="Times New Roman" w:hAnsi="Times New Roman" w:cs="Times New Roman"/>
          <w:color w:val="000000"/>
          <w:sz w:val="28"/>
          <w:szCs w:val="28"/>
          <w:lang w:eastAsia="uk-UA"/>
        </w:rPr>
        <w:t xml:space="preserve"> Крива розподілу імовірності одержання прибутку </w:t>
      </w: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При побудові кривої розподілу імовірності одержання прибутку врахуємо такі припущення: </w:t>
      </w:r>
    </w:p>
    <w:p w:rsidR="000B476F" w:rsidRPr="00DD73A8" w:rsidRDefault="000B476F" w:rsidP="000B476F">
      <w:pPr>
        <w:spacing w:after="14" w:line="266" w:lineRule="auto"/>
        <w:ind w:right="57" w:firstLine="552"/>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val="uk-UA" w:eastAsia="uk-UA"/>
        </w:rPr>
        <w:t xml:space="preserve">1. </w:t>
      </w:r>
      <w:r w:rsidRPr="00DD73A8">
        <w:rPr>
          <w:rFonts w:ascii="Times New Roman" w:eastAsia="Times New Roman" w:hAnsi="Times New Roman" w:cs="Times New Roman"/>
          <w:color w:val="000000"/>
          <w:sz w:val="28"/>
          <w:szCs w:val="28"/>
          <w:lang w:eastAsia="uk-UA"/>
        </w:rPr>
        <w:t>Найбільш імовірне одержання прибутку дорівнює його розрахунковій ціні (ПР</w:t>
      </w:r>
      <w:r w:rsidRPr="00DD73A8">
        <w:rPr>
          <w:rFonts w:ascii="Times New Roman" w:eastAsia="Times New Roman" w:hAnsi="Times New Roman" w:cs="Times New Roman"/>
          <w:color w:val="000000"/>
          <w:sz w:val="28"/>
          <w:szCs w:val="28"/>
          <w:vertAlign w:val="subscript"/>
          <w:lang w:eastAsia="uk-UA"/>
        </w:rPr>
        <w:t>р</w:t>
      </w:r>
      <w:r w:rsidRPr="00DD73A8">
        <w:rPr>
          <w:rFonts w:ascii="Times New Roman" w:eastAsia="Times New Roman" w:hAnsi="Times New Roman" w:cs="Times New Roman"/>
          <w:color w:val="000000"/>
          <w:sz w:val="28"/>
          <w:szCs w:val="28"/>
          <w:lang w:eastAsia="uk-UA"/>
        </w:rPr>
        <w:t>). Імовірність (В</w:t>
      </w:r>
      <w:r w:rsidRPr="00DD73A8">
        <w:rPr>
          <w:rFonts w:ascii="Times New Roman" w:eastAsia="Times New Roman" w:hAnsi="Times New Roman" w:cs="Times New Roman"/>
          <w:color w:val="000000"/>
          <w:sz w:val="28"/>
          <w:szCs w:val="28"/>
          <w:vertAlign w:val="subscript"/>
          <w:lang w:eastAsia="uk-UA"/>
        </w:rPr>
        <w:t>р</w:t>
      </w:r>
      <w:r w:rsidRPr="00DD73A8">
        <w:rPr>
          <w:rFonts w:ascii="Times New Roman" w:eastAsia="Times New Roman" w:hAnsi="Times New Roman" w:cs="Times New Roman"/>
          <w:color w:val="000000"/>
          <w:sz w:val="28"/>
          <w:szCs w:val="28"/>
          <w:lang w:eastAsia="uk-UA"/>
        </w:rPr>
        <w:t>) одержання такого прибутку максимальна, відповідно до значення ПР</w:t>
      </w:r>
      <w:r w:rsidRPr="00DD73A8">
        <w:rPr>
          <w:rFonts w:ascii="Times New Roman" w:eastAsia="Times New Roman" w:hAnsi="Times New Roman" w:cs="Times New Roman"/>
          <w:color w:val="000000"/>
          <w:sz w:val="28"/>
          <w:szCs w:val="28"/>
          <w:vertAlign w:val="subscript"/>
          <w:lang w:eastAsia="uk-UA"/>
        </w:rPr>
        <w:t>р</w:t>
      </w:r>
      <w:r w:rsidRPr="00DD73A8">
        <w:rPr>
          <w:rFonts w:ascii="Times New Roman" w:eastAsia="Times New Roman" w:hAnsi="Times New Roman" w:cs="Times New Roman"/>
          <w:color w:val="000000"/>
          <w:sz w:val="28"/>
          <w:szCs w:val="28"/>
          <w:lang w:eastAsia="uk-UA"/>
        </w:rPr>
        <w:t xml:space="preserve">, можна вважати математичним очікуванням прибутку. Імовірність одержання прибутку більшого чи меншого порівняно з розрахунковим тим нижча, чим більше цей прибуток відрізняється від розрахункового. Тобто значення імовірності одержання прибутку монотонно спадають. </w:t>
      </w:r>
    </w:p>
    <w:p w:rsidR="000B476F" w:rsidRPr="00DD73A8" w:rsidRDefault="000B476F" w:rsidP="000B476F">
      <w:pPr>
        <w:spacing w:after="14" w:line="266" w:lineRule="auto"/>
        <w:ind w:right="57" w:firstLine="552"/>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val="uk-UA" w:eastAsia="uk-UA"/>
        </w:rPr>
        <w:t xml:space="preserve">2. </w:t>
      </w:r>
      <w:r w:rsidRPr="00DD73A8">
        <w:rPr>
          <w:rFonts w:ascii="Times New Roman" w:eastAsia="Times New Roman" w:hAnsi="Times New Roman" w:cs="Times New Roman"/>
          <w:color w:val="000000"/>
          <w:sz w:val="28"/>
          <w:szCs w:val="28"/>
          <w:lang w:eastAsia="uk-UA"/>
        </w:rPr>
        <w:t>Витратою прибутку (ПР) вважається його зменшення порівняно з розрахунковою величиною: ПР = ПР</w:t>
      </w:r>
      <w:r w:rsidRPr="00DD73A8">
        <w:rPr>
          <w:rFonts w:ascii="Times New Roman" w:eastAsia="Times New Roman" w:hAnsi="Times New Roman" w:cs="Times New Roman"/>
          <w:color w:val="000000"/>
          <w:sz w:val="28"/>
          <w:szCs w:val="28"/>
          <w:vertAlign w:val="subscript"/>
          <w:lang w:eastAsia="uk-UA"/>
        </w:rPr>
        <w:t>р</w:t>
      </w:r>
      <w:r w:rsidRPr="00DD73A8">
        <w:rPr>
          <w:rFonts w:ascii="Times New Roman" w:eastAsia="Times New Roman" w:hAnsi="Times New Roman" w:cs="Times New Roman"/>
          <w:color w:val="000000"/>
          <w:sz w:val="28"/>
          <w:szCs w:val="28"/>
          <w:lang w:eastAsia="uk-UA"/>
        </w:rPr>
        <w:t xml:space="preserve"> – ПР. </w:t>
      </w:r>
    </w:p>
    <w:p w:rsidR="000B476F" w:rsidRPr="00DD73A8" w:rsidRDefault="000B476F" w:rsidP="000B476F">
      <w:pPr>
        <w:spacing w:after="14" w:line="266" w:lineRule="auto"/>
        <w:ind w:right="57" w:firstLine="552"/>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val="uk-UA" w:eastAsia="uk-UA"/>
        </w:rPr>
        <w:t xml:space="preserve">3. </w:t>
      </w:r>
      <w:r w:rsidRPr="00DD73A8">
        <w:rPr>
          <w:rFonts w:ascii="Times New Roman" w:eastAsia="Times New Roman" w:hAnsi="Times New Roman" w:cs="Times New Roman"/>
          <w:color w:val="000000"/>
          <w:sz w:val="28"/>
          <w:szCs w:val="28"/>
          <w:lang w:eastAsia="uk-UA"/>
        </w:rPr>
        <w:t xml:space="preserve">Імовірність дуже великих (теоретично нескінченних) витрат практично дорівнює нулю, оскільки втрати мають верхню межу (крім утрат, які неможливо оцінити кількісно). </w:t>
      </w: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Звичайно прийняті припущення певною мірою спірні, тому що їх не можна віднести до всіх видів ризику. Але в цілому вони правильно відображають загальні закономірності змін підприємницького ризику і базуються на гіпотезі, що прибуток як випадкова величина підлягає нормальному чи близькому </w:t>
      </w:r>
      <w:proofErr w:type="gramStart"/>
      <w:r w:rsidRPr="00DD73A8">
        <w:rPr>
          <w:rFonts w:ascii="Times New Roman" w:eastAsia="Times New Roman" w:hAnsi="Times New Roman" w:cs="Times New Roman"/>
          <w:color w:val="000000"/>
          <w:sz w:val="28"/>
          <w:szCs w:val="28"/>
          <w:lang w:eastAsia="uk-UA"/>
        </w:rPr>
        <w:t>до</w:t>
      </w:r>
      <w:r w:rsidRPr="00DD73A8">
        <w:rPr>
          <w:rFonts w:ascii="Times New Roman" w:eastAsia="Times New Roman" w:hAnsi="Times New Roman" w:cs="Times New Roman"/>
          <w:color w:val="000000"/>
          <w:sz w:val="28"/>
          <w:szCs w:val="28"/>
          <w:lang w:val="uk-UA" w:eastAsia="uk-UA"/>
        </w:rPr>
        <w:t xml:space="preserve"> </w:t>
      </w:r>
      <w:r w:rsidRPr="00DD73A8">
        <w:rPr>
          <w:rFonts w:ascii="Times New Roman" w:eastAsia="Times New Roman" w:hAnsi="Times New Roman" w:cs="Times New Roman"/>
          <w:color w:val="000000"/>
          <w:sz w:val="28"/>
          <w:szCs w:val="28"/>
          <w:lang w:eastAsia="uk-UA"/>
        </w:rPr>
        <w:t>нормального закону</w:t>
      </w:r>
      <w:proofErr w:type="gramEnd"/>
      <w:r w:rsidRPr="00DD73A8">
        <w:rPr>
          <w:rFonts w:ascii="Times New Roman" w:eastAsia="Times New Roman" w:hAnsi="Times New Roman" w:cs="Times New Roman"/>
          <w:color w:val="000000"/>
          <w:sz w:val="28"/>
          <w:szCs w:val="28"/>
          <w:lang w:eastAsia="uk-UA"/>
        </w:rPr>
        <w:t xml:space="preserve"> розподілу. </w:t>
      </w: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Аналіз ризику будується на методології, за допомогою якої аналізується майбутня невизначеність для того, щоб визначити вплив ризику на </w:t>
      </w:r>
      <w:r w:rsidRPr="00DD73A8">
        <w:rPr>
          <w:rFonts w:ascii="Times New Roman" w:eastAsia="Times New Roman" w:hAnsi="Times New Roman" w:cs="Times New Roman"/>
          <w:color w:val="000000"/>
          <w:sz w:val="28"/>
          <w:szCs w:val="28"/>
          <w:lang w:eastAsia="uk-UA"/>
        </w:rPr>
        <w:lastRenderedPageBreak/>
        <w:t xml:space="preserve">результати. Це засіб, за допомогою якого математична прогнозна модель підлягає ряду імітаційних прогонів за допомогою комп`ютера.  </w:t>
      </w: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Таким чином, процес аналізу ризику включає такі стадії: </w:t>
      </w:r>
    </w:p>
    <w:p w:rsidR="000B476F" w:rsidRPr="00DD73A8" w:rsidRDefault="000B476F" w:rsidP="000B476F">
      <w:pPr>
        <w:numPr>
          <w:ilvl w:val="0"/>
          <w:numId w:val="2"/>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створення прогнозної моделі; </w:t>
      </w:r>
    </w:p>
    <w:p w:rsidR="000B476F" w:rsidRPr="00DD73A8" w:rsidRDefault="000B476F" w:rsidP="000B476F">
      <w:pPr>
        <w:numPr>
          <w:ilvl w:val="0"/>
          <w:numId w:val="2"/>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визначення змінних ризику; </w:t>
      </w:r>
    </w:p>
    <w:p w:rsidR="000B476F" w:rsidRPr="00DD73A8" w:rsidRDefault="000B476F" w:rsidP="000B476F">
      <w:pPr>
        <w:numPr>
          <w:ilvl w:val="0"/>
          <w:numId w:val="2"/>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встановлення наявності чи відсутності зв`язків між змінними; </w:t>
      </w:r>
    </w:p>
    <w:p w:rsidR="000B476F" w:rsidRPr="00DD73A8" w:rsidRDefault="000B476F" w:rsidP="000B476F">
      <w:pPr>
        <w:numPr>
          <w:ilvl w:val="0"/>
          <w:numId w:val="2"/>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прогони моделей; </w:t>
      </w:r>
    </w:p>
    <w:p w:rsidR="000B476F" w:rsidRPr="00DD73A8" w:rsidRDefault="000B476F" w:rsidP="000B476F">
      <w:pPr>
        <w:numPr>
          <w:ilvl w:val="0"/>
          <w:numId w:val="2"/>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аналіз результатів. </w:t>
      </w: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Змінні ризику – це змінні, які є критичними для життєздатності проекту, тобто навіть невеликі відхилення від їх розрахованого значення негативно позначаються на проекті. </w:t>
      </w: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Для відбору змінних використовується аналіз чутливості та невизначеності. Аналіз чутливості вимірює реакцію результатів проекту на зміну тієї чи іншої змінної проекту. Недолік цього аналізу в тому, що він не бере до уваги реалістичність змін значень змінних.  </w:t>
      </w: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Для того щоб результати, отримані при аналізі чуттєвості, мали значення, потрібно врахувати вплив невизначеності.  </w:t>
      </w: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Наприклад, невелике відхилення в закупівельній вартості певного виду обладнання в рік Х має дуже велике значення </w:t>
      </w:r>
      <w:proofErr w:type="gramStart"/>
      <w:r w:rsidRPr="00DD73A8">
        <w:rPr>
          <w:rFonts w:ascii="Times New Roman" w:eastAsia="Times New Roman" w:hAnsi="Times New Roman" w:cs="Times New Roman"/>
          <w:color w:val="000000"/>
          <w:sz w:val="28"/>
          <w:szCs w:val="28"/>
          <w:lang w:eastAsia="uk-UA"/>
        </w:rPr>
        <w:t>для доходу</w:t>
      </w:r>
      <w:proofErr w:type="gramEnd"/>
      <w:r w:rsidRPr="00DD73A8">
        <w:rPr>
          <w:rFonts w:ascii="Times New Roman" w:eastAsia="Times New Roman" w:hAnsi="Times New Roman" w:cs="Times New Roman"/>
          <w:color w:val="000000"/>
          <w:sz w:val="28"/>
          <w:szCs w:val="28"/>
          <w:lang w:eastAsia="uk-UA"/>
        </w:rPr>
        <w:t xml:space="preserve"> проекту, але вірогідність цього відхилення може бути малою, якщо постачальник зв`язаний певними умовами контракту. Отже, ризик, зумовлений цією змінною, незначний.  </w:t>
      </w: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Характеризуючи поняття невизначеності, яке пов’язане з певною змінною проекту, необхідно розширити рамки невизначеності, що дозволить більш-менш точно передбачити значення певної зміни в майбутньому. </w:t>
      </w: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 </w:t>
      </w:r>
    </w:p>
    <w:p w:rsidR="000B476F" w:rsidRPr="00DD73A8" w:rsidRDefault="000B476F" w:rsidP="000B476F">
      <w:pPr>
        <w:spacing w:after="14" w:line="266" w:lineRule="auto"/>
        <w:ind w:left="-15" w:right="57" w:firstLine="567"/>
        <w:jc w:val="both"/>
        <w:rPr>
          <w:rFonts w:ascii="Times New Roman" w:eastAsia="Times New Roman" w:hAnsi="Times New Roman" w:cs="Times New Roman"/>
          <w:b/>
          <w:i/>
          <w:color w:val="000000"/>
          <w:sz w:val="28"/>
          <w:szCs w:val="28"/>
          <w:u w:val="single"/>
          <w:lang w:eastAsia="uk-UA"/>
        </w:rPr>
      </w:pPr>
      <w:r w:rsidRPr="00DD73A8">
        <w:rPr>
          <w:rFonts w:ascii="Times New Roman" w:eastAsia="Times New Roman" w:hAnsi="Times New Roman" w:cs="Times New Roman"/>
          <w:b/>
          <w:i/>
          <w:color w:val="000000"/>
          <w:sz w:val="28"/>
          <w:szCs w:val="28"/>
          <w:u w:val="single"/>
          <w:lang w:eastAsia="uk-UA"/>
        </w:rPr>
        <w:t>3.</w:t>
      </w:r>
      <w:r w:rsidRPr="00DD73A8">
        <w:rPr>
          <w:rFonts w:ascii="Times New Roman" w:eastAsia="Times New Roman" w:hAnsi="Times New Roman" w:cs="Times New Roman"/>
          <w:b/>
          <w:i/>
          <w:color w:val="000000"/>
          <w:sz w:val="28"/>
          <w:szCs w:val="28"/>
          <w:u w:val="single"/>
          <w:lang w:val="uk-UA" w:eastAsia="uk-UA"/>
        </w:rPr>
        <w:t xml:space="preserve"> </w:t>
      </w:r>
      <w:r w:rsidRPr="00DD73A8">
        <w:rPr>
          <w:rFonts w:ascii="Times New Roman" w:eastAsia="Times New Roman" w:hAnsi="Times New Roman" w:cs="Times New Roman"/>
          <w:b/>
          <w:i/>
          <w:color w:val="000000"/>
          <w:sz w:val="28"/>
          <w:szCs w:val="28"/>
          <w:u w:val="single"/>
          <w:lang w:eastAsia="uk-UA"/>
        </w:rPr>
        <w:t xml:space="preserve">Методи оцінювання економічного ризику </w:t>
      </w: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Усі підприємці </w:t>
      </w:r>
      <w:proofErr w:type="gramStart"/>
      <w:r w:rsidRPr="00DD73A8">
        <w:rPr>
          <w:rFonts w:ascii="Times New Roman" w:eastAsia="Times New Roman" w:hAnsi="Times New Roman" w:cs="Times New Roman"/>
          <w:color w:val="000000"/>
          <w:sz w:val="28"/>
          <w:szCs w:val="28"/>
          <w:lang w:eastAsia="uk-UA"/>
        </w:rPr>
        <w:t>в будь</w:t>
      </w:r>
      <w:proofErr w:type="gramEnd"/>
      <w:r w:rsidRPr="00DD73A8">
        <w:rPr>
          <w:rFonts w:ascii="Times New Roman" w:eastAsia="Times New Roman" w:hAnsi="Times New Roman" w:cs="Times New Roman"/>
          <w:color w:val="000000"/>
          <w:sz w:val="28"/>
          <w:szCs w:val="28"/>
          <w:lang w:eastAsia="uk-UA"/>
        </w:rPr>
        <w:t xml:space="preserve">-якій сфері економічної діяльності зацікавлені в уникненні значних збитків. </w:t>
      </w:r>
      <w:proofErr w:type="gramStart"/>
      <w:r w:rsidRPr="00DD73A8">
        <w:rPr>
          <w:rFonts w:ascii="Times New Roman" w:eastAsia="Times New Roman" w:hAnsi="Times New Roman" w:cs="Times New Roman"/>
          <w:color w:val="000000"/>
          <w:sz w:val="28"/>
          <w:szCs w:val="28"/>
          <w:lang w:eastAsia="uk-UA"/>
        </w:rPr>
        <w:t>За умов</w:t>
      </w:r>
      <w:proofErr w:type="gramEnd"/>
      <w:r w:rsidRPr="00DD73A8">
        <w:rPr>
          <w:rFonts w:ascii="Times New Roman" w:eastAsia="Times New Roman" w:hAnsi="Times New Roman" w:cs="Times New Roman"/>
          <w:color w:val="000000"/>
          <w:sz w:val="28"/>
          <w:szCs w:val="28"/>
          <w:lang w:eastAsia="uk-UA"/>
        </w:rPr>
        <w:t xml:space="preserve"> нестабільної та швидко змінюваної ситуації суб’єкти економічної діяльності змушені враховувати всі можливі наслідки дій своїх конкурентів, а також інших змін у ринковій ситуації. </w:t>
      </w: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Аналіз ризиків поділяють на два взаємодоповнюючі один одного види: якісний і кількісний (рис. </w:t>
      </w:r>
      <w:r w:rsidRPr="00DD73A8">
        <w:rPr>
          <w:rFonts w:ascii="Times New Roman" w:eastAsia="Times New Roman" w:hAnsi="Times New Roman" w:cs="Times New Roman"/>
          <w:color w:val="000000"/>
          <w:sz w:val="28"/>
          <w:szCs w:val="28"/>
          <w:lang w:val="uk-UA" w:eastAsia="uk-UA"/>
        </w:rPr>
        <w:t>2.</w:t>
      </w:r>
      <w:r w:rsidRPr="00DD73A8">
        <w:rPr>
          <w:rFonts w:ascii="Times New Roman" w:eastAsia="Times New Roman" w:hAnsi="Times New Roman" w:cs="Times New Roman"/>
          <w:color w:val="000000"/>
          <w:sz w:val="28"/>
          <w:szCs w:val="28"/>
          <w:lang w:eastAsia="uk-UA"/>
        </w:rPr>
        <w:t xml:space="preserve">3.). </w:t>
      </w:r>
    </w:p>
    <w:p w:rsidR="000B476F" w:rsidRPr="00DD73A8" w:rsidRDefault="000B476F" w:rsidP="000B476F">
      <w:p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Calibri" w:eastAsia="Calibri" w:hAnsi="Calibri" w:cs="Times New Roman"/>
          <w:noProof/>
          <w:lang w:eastAsia="ru-RU"/>
        </w:rPr>
        <w:lastRenderedPageBreak/>
        <w:drawing>
          <wp:inline distT="0" distB="0" distL="0" distR="0" wp14:anchorId="17252C32" wp14:editId="081D2EC4">
            <wp:extent cx="5570220" cy="2148840"/>
            <wp:effectExtent l="0" t="0" r="0" b="3810"/>
            <wp:docPr id="9" name="Picture 201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28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70220" cy="2148840"/>
                    </a:xfrm>
                    <a:prstGeom prst="rect">
                      <a:avLst/>
                    </a:prstGeom>
                    <a:noFill/>
                    <a:ln>
                      <a:noFill/>
                    </a:ln>
                  </pic:spPr>
                </pic:pic>
              </a:graphicData>
            </a:graphic>
          </wp:inline>
        </w:drawing>
      </w:r>
    </w:p>
    <w:p w:rsidR="000B476F" w:rsidRPr="00DD73A8" w:rsidRDefault="000B476F" w:rsidP="000B476F">
      <w:p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ab/>
        <w:t>Рис</w:t>
      </w:r>
      <w:r w:rsidRPr="00DD73A8">
        <w:rPr>
          <w:rFonts w:ascii="Times New Roman" w:eastAsia="Times New Roman" w:hAnsi="Times New Roman" w:cs="Times New Roman"/>
          <w:color w:val="000000"/>
          <w:sz w:val="28"/>
          <w:szCs w:val="28"/>
          <w:lang w:val="uk-UA" w:eastAsia="uk-UA"/>
        </w:rPr>
        <w:t xml:space="preserve">унок 2. </w:t>
      </w:r>
      <w:r w:rsidRPr="00DD73A8">
        <w:rPr>
          <w:rFonts w:ascii="Times New Roman" w:eastAsia="Times New Roman" w:hAnsi="Times New Roman" w:cs="Times New Roman"/>
          <w:color w:val="000000"/>
          <w:sz w:val="28"/>
          <w:szCs w:val="28"/>
          <w:lang w:eastAsia="uk-UA"/>
        </w:rPr>
        <w:t>3</w:t>
      </w:r>
      <w:r w:rsidRPr="00DD73A8">
        <w:rPr>
          <w:rFonts w:ascii="Times New Roman" w:eastAsia="Times New Roman" w:hAnsi="Times New Roman" w:cs="Times New Roman"/>
          <w:color w:val="000000"/>
          <w:sz w:val="28"/>
          <w:szCs w:val="28"/>
          <w:lang w:val="uk-UA" w:eastAsia="uk-UA"/>
        </w:rPr>
        <w:t xml:space="preserve"> - </w:t>
      </w:r>
      <w:r w:rsidRPr="00DD73A8">
        <w:rPr>
          <w:rFonts w:ascii="Times New Roman" w:eastAsia="Times New Roman" w:hAnsi="Times New Roman" w:cs="Times New Roman"/>
          <w:color w:val="000000"/>
          <w:sz w:val="28"/>
          <w:szCs w:val="28"/>
          <w:lang w:eastAsia="uk-UA"/>
        </w:rPr>
        <w:t xml:space="preserve">Класифікація методів оцінювання економічного ризику </w:t>
      </w:r>
    </w:p>
    <w:p w:rsidR="000B476F" w:rsidRPr="00DD73A8" w:rsidRDefault="000B476F" w:rsidP="000B476F">
      <w:pPr>
        <w:spacing w:after="14" w:line="266" w:lineRule="auto"/>
        <w:ind w:right="57" w:firstLine="708"/>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 xml:space="preserve">Якісний метод </w:t>
      </w:r>
      <w:r w:rsidRPr="00DD73A8">
        <w:rPr>
          <w:rFonts w:ascii="Times New Roman" w:eastAsia="Times New Roman" w:hAnsi="Times New Roman" w:cs="Times New Roman"/>
          <w:color w:val="000000"/>
          <w:sz w:val="28"/>
          <w:szCs w:val="28"/>
          <w:lang w:eastAsia="uk-UA"/>
        </w:rPr>
        <w:t xml:space="preserve">проводиться за такими напрямами: </w:t>
      </w:r>
    </w:p>
    <w:p w:rsidR="000B476F" w:rsidRPr="00DD73A8" w:rsidRDefault="000B476F" w:rsidP="000B476F">
      <w:pPr>
        <w:numPr>
          <w:ilvl w:val="0"/>
          <w:numId w:val="3"/>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порівняння очікуваних позитивних результатів від вибору конкретного напряму виду діяльності з </w:t>
      </w:r>
      <w:proofErr w:type="gramStart"/>
      <w:r w:rsidRPr="00DD73A8">
        <w:rPr>
          <w:rFonts w:ascii="Times New Roman" w:eastAsia="Times New Roman" w:hAnsi="Times New Roman" w:cs="Times New Roman"/>
          <w:color w:val="000000"/>
          <w:sz w:val="28"/>
          <w:szCs w:val="28"/>
          <w:lang w:eastAsia="uk-UA"/>
        </w:rPr>
        <w:t>можливими  наслідками</w:t>
      </w:r>
      <w:proofErr w:type="gramEnd"/>
      <w:r w:rsidRPr="00DD73A8">
        <w:rPr>
          <w:rFonts w:ascii="Times New Roman" w:eastAsia="Times New Roman" w:hAnsi="Times New Roman" w:cs="Times New Roman"/>
          <w:color w:val="000000"/>
          <w:sz w:val="28"/>
          <w:szCs w:val="28"/>
          <w:lang w:eastAsia="uk-UA"/>
        </w:rPr>
        <w:t xml:space="preserve"> цього; </w:t>
      </w:r>
    </w:p>
    <w:p w:rsidR="000B476F" w:rsidRPr="00DD73A8" w:rsidRDefault="000B476F" w:rsidP="000B476F">
      <w:pPr>
        <w:numPr>
          <w:ilvl w:val="0"/>
          <w:numId w:val="3"/>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проведення комплексного аналізу, впливу рішень, що приймаються безпосередньо підприємцем на проведення інших заходів; </w:t>
      </w:r>
    </w:p>
    <w:p w:rsidR="000B476F" w:rsidRPr="00DD73A8" w:rsidRDefault="000B476F" w:rsidP="000B476F">
      <w:pPr>
        <w:numPr>
          <w:ilvl w:val="0"/>
          <w:numId w:val="3"/>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управління ризиком. </w:t>
      </w:r>
    </w:p>
    <w:p w:rsidR="000B476F" w:rsidRPr="00DD73A8" w:rsidRDefault="000B476F" w:rsidP="000B476F">
      <w:pPr>
        <w:spacing w:after="14" w:line="266" w:lineRule="auto"/>
        <w:ind w:right="57" w:firstLine="708"/>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Тепер найбільш поширеними є такі методи аналізу ризику: </w:t>
      </w:r>
    </w:p>
    <w:p w:rsidR="000B476F" w:rsidRPr="00DD73A8" w:rsidRDefault="000B476F" w:rsidP="000B476F">
      <w:p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статистичний, експертних оцінок, аналітичний, оцінювання фінансової стійкості та платоспроможності. </w:t>
      </w:r>
    </w:p>
    <w:p w:rsidR="000B476F" w:rsidRPr="00DD73A8" w:rsidRDefault="000B476F" w:rsidP="000B476F">
      <w:pPr>
        <w:spacing w:after="14" w:line="266" w:lineRule="auto"/>
        <w:ind w:right="57" w:firstLine="708"/>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При оцінюванні ступеня ризику переважним є </w:t>
      </w:r>
      <w:r w:rsidRPr="00DD73A8">
        <w:rPr>
          <w:rFonts w:ascii="Times New Roman" w:eastAsia="Times New Roman" w:hAnsi="Times New Roman" w:cs="Times New Roman"/>
          <w:i/>
          <w:color w:val="000000"/>
          <w:sz w:val="28"/>
          <w:szCs w:val="28"/>
          <w:lang w:eastAsia="uk-UA"/>
        </w:rPr>
        <w:t>статистичний метод.</w:t>
      </w:r>
      <w:r w:rsidRPr="00DD73A8">
        <w:rPr>
          <w:rFonts w:ascii="Times New Roman" w:eastAsia="Times New Roman" w:hAnsi="Times New Roman" w:cs="Times New Roman"/>
          <w:color w:val="000000"/>
          <w:sz w:val="28"/>
          <w:szCs w:val="28"/>
          <w:lang w:eastAsia="uk-UA"/>
        </w:rPr>
        <w:t xml:space="preserve"> За наявності на фірмі необхідної інформації розрахувати кількісну оцінку ступеня ризику можна за допомогою формул, які вже давно успішно застосовувалися в теорії імовірності і статистиці. </w:t>
      </w:r>
    </w:p>
    <w:p w:rsidR="000B476F" w:rsidRPr="00DD73A8" w:rsidRDefault="000B476F" w:rsidP="000B476F">
      <w:pPr>
        <w:spacing w:after="14" w:line="266" w:lineRule="auto"/>
        <w:ind w:right="57" w:firstLine="708"/>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 xml:space="preserve">Статистичний метод </w:t>
      </w:r>
      <w:r w:rsidRPr="00DD73A8">
        <w:rPr>
          <w:rFonts w:ascii="Times New Roman" w:eastAsia="Times New Roman" w:hAnsi="Times New Roman" w:cs="Times New Roman"/>
          <w:color w:val="000000"/>
          <w:sz w:val="28"/>
          <w:szCs w:val="28"/>
          <w:lang w:eastAsia="uk-UA"/>
        </w:rPr>
        <w:t xml:space="preserve">реалізується шляхом обробки суджень досвідчених фахівців з певних питань інвестиційної діяльності, передбачає проведення експертизи, обробки та використання її результатів при визначенні імовірності настання ризику (рис. </w:t>
      </w:r>
      <w:r w:rsidRPr="00DD73A8">
        <w:rPr>
          <w:rFonts w:ascii="Times New Roman" w:eastAsia="Times New Roman" w:hAnsi="Times New Roman" w:cs="Times New Roman"/>
          <w:color w:val="000000"/>
          <w:sz w:val="28"/>
          <w:szCs w:val="28"/>
          <w:lang w:val="uk-UA" w:eastAsia="uk-UA"/>
        </w:rPr>
        <w:t>2</w:t>
      </w:r>
      <w:r w:rsidRPr="00DD73A8">
        <w:rPr>
          <w:rFonts w:ascii="Times New Roman" w:eastAsia="Times New Roman" w:hAnsi="Times New Roman" w:cs="Times New Roman"/>
          <w:color w:val="000000"/>
          <w:sz w:val="28"/>
          <w:szCs w:val="28"/>
          <w:lang w:eastAsia="uk-UA"/>
        </w:rPr>
        <w:t>.</w:t>
      </w:r>
      <w:r w:rsidRPr="00DD73A8">
        <w:rPr>
          <w:rFonts w:ascii="Times New Roman" w:eastAsia="Times New Roman" w:hAnsi="Times New Roman" w:cs="Times New Roman"/>
          <w:color w:val="000000"/>
          <w:sz w:val="28"/>
          <w:szCs w:val="28"/>
          <w:lang w:val="uk-UA" w:eastAsia="uk-UA"/>
        </w:rPr>
        <w:t>4</w:t>
      </w:r>
      <w:r w:rsidRPr="00DD73A8">
        <w:rPr>
          <w:rFonts w:ascii="Times New Roman" w:eastAsia="Times New Roman" w:hAnsi="Times New Roman" w:cs="Times New Roman"/>
          <w:color w:val="000000"/>
          <w:sz w:val="28"/>
          <w:szCs w:val="28"/>
          <w:lang w:eastAsia="uk-UA"/>
        </w:rPr>
        <w:t xml:space="preserve">). </w:t>
      </w:r>
    </w:p>
    <w:p w:rsidR="000B476F" w:rsidRPr="00DD73A8" w:rsidRDefault="000B476F" w:rsidP="000B476F">
      <w:pPr>
        <w:spacing w:after="14" w:line="266" w:lineRule="auto"/>
        <w:ind w:right="57" w:firstLine="708"/>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Статистичний метод</w:t>
      </w:r>
      <w:r w:rsidRPr="00DD73A8">
        <w:rPr>
          <w:rFonts w:ascii="Times New Roman" w:eastAsia="Times New Roman" w:hAnsi="Times New Roman" w:cs="Times New Roman"/>
          <w:b/>
          <w:color w:val="000000"/>
          <w:sz w:val="28"/>
          <w:szCs w:val="28"/>
          <w:lang w:eastAsia="uk-UA"/>
        </w:rPr>
        <w:t xml:space="preserve"> </w:t>
      </w:r>
      <w:r w:rsidRPr="00DD73A8">
        <w:rPr>
          <w:rFonts w:ascii="Times New Roman" w:eastAsia="Times New Roman" w:hAnsi="Times New Roman" w:cs="Times New Roman"/>
          <w:color w:val="000000"/>
          <w:sz w:val="28"/>
          <w:szCs w:val="28"/>
          <w:lang w:eastAsia="uk-UA"/>
        </w:rPr>
        <w:t xml:space="preserve">полягає у вивченні статистики втрат і прибутків, які мали місце на певному чи аналогічному підприємстві, з метою визначення вірогідності події, встановлення величини ризику. Вірогідність означає можливість отримання певного результату. Наприклад, вірогідність успішного просування нового товару </w:t>
      </w:r>
      <w:proofErr w:type="gramStart"/>
      <w:r w:rsidRPr="00DD73A8">
        <w:rPr>
          <w:rFonts w:ascii="Times New Roman" w:eastAsia="Times New Roman" w:hAnsi="Times New Roman" w:cs="Times New Roman"/>
          <w:color w:val="000000"/>
          <w:sz w:val="28"/>
          <w:szCs w:val="28"/>
          <w:lang w:eastAsia="uk-UA"/>
        </w:rPr>
        <w:t>на ринку</w:t>
      </w:r>
      <w:proofErr w:type="gramEnd"/>
      <w:r w:rsidRPr="00DD73A8">
        <w:rPr>
          <w:rFonts w:ascii="Times New Roman" w:eastAsia="Times New Roman" w:hAnsi="Times New Roman" w:cs="Times New Roman"/>
          <w:color w:val="000000"/>
          <w:sz w:val="28"/>
          <w:szCs w:val="28"/>
          <w:lang w:eastAsia="uk-UA"/>
        </w:rPr>
        <w:t xml:space="preserve"> протягом року складає 3/4, а невдача – 1/4. Величина, або ступінь, ризику визначається за двома показниками: середнім очікуваним значенням і коливанням (зміною) можливого результату. </w:t>
      </w:r>
    </w:p>
    <w:p w:rsidR="000B476F" w:rsidRPr="00DD73A8" w:rsidRDefault="000B476F" w:rsidP="000B476F">
      <w:pPr>
        <w:spacing w:after="14" w:line="266" w:lineRule="auto"/>
        <w:ind w:right="57" w:firstLine="708"/>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Середнє очікуване значення пов’язане з невизначеністю ситуації. Воно виражається у вигляді середньозваженої величини всіх можливих результатів </w:t>
      </w:r>
      <w:r w:rsidRPr="00DD73A8">
        <w:rPr>
          <w:rFonts w:ascii="Times New Roman" w:eastAsia="Times New Roman" w:hAnsi="Times New Roman" w:cs="Times New Roman"/>
          <w:color w:val="000000"/>
          <w:sz w:val="28"/>
          <w:szCs w:val="28"/>
          <w:lang w:eastAsia="uk-UA"/>
        </w:rPr>
        <w:lastRenderedPageBreak/>
        <w:t>Е(</w:t>
      </w:r>
      <w:r w:rsidRPr="00DD73A8">
        <w:rPr>
          <w:rFonts w:ascii="Times New Roman" w:eastAsia="Times New Roman" w:hAnsi="Times New Roman" w:cs="Times New Roman"/>
          <w:i/>
          <w:color w:val="000000"/>
          <w:sz w:val="28"/>
          <w:szCs w:val="28"/>
          <w:lang w:eastAsia="uk-UA"/>
        </w:rPr>
        <w:t>х</w:t>
      </w:r>
      <w:r w:rsidRPr="00DD73A8">
        <w:rPr>
          <w:rFonts w:ascii="Times New Roman" w:eastAsia="Times New Roman" w:hAnsi="Times New Roman" w:cs="Times New Roman"/>
          <w:color w:val="000000"/>
          <w:sz w:val="28"/>
          <w:szCs w:val="28"/>
          <w:lang w:eastAsia="uk-UA"/>
        </w:rPr>
        <w:t xml:space="preserve">), де вірогідність кожного результату А використовується у вигляді частоти, або ваги, відповідного значення </w:t>
      </w:r>
      <w:r w:rsidRPr="00DD73A8">
        <w:rPr>
          <w:rFonts w:ascii="Times New Roman" w:eastAsia="Times New Roman" w:hAnsi="Times New Roman" w:cs="Times New Roman"/>
          <w:i/>
          <w:color w:val="000000"/>
          <w:sz w:val="28"/>
          <w:szCs w:val="28"/>
          <w:lang w:eastAsia="uk-UA"/>
        </w:rPr>
        <w:t xml:space="preserve">х. </w:t>
      </w:r>
      <w:r w:rsidRPr="00DD73A8">
        <w:rPr>
          <w:rFonts w:ascii="Times New Roman" w:eastAsia="Times New Roman" w:hAnsi="Times New Roman" w:cs="Times New Roman"/>
          <w:color w:val="000000"/>
          <w:sz w:val="28"/>
          <w:szCs w:val="28"/>
          <w:lang w:eastAsia="uk-UA"/>
        </w:rPr>
        <w:t xml:space="preserve">У загальному вигляді це можна записати так: </w:t>
      </w:r>
    </w:p>
    <w:p w:rsidR="000B476F" w:rsidRPr="00DD73A8" w:rsidRDefault="000B476F" w:rsidP="000B476F">
      <w:p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 </w:t>
      </w:r>
    </w:p>
    <w:p w:rsidR="000B476F" w:rsidRPr="00DD73A8" w:rsidRDefault="000B476F" w:rsidP="000B476F">
      <w:pPr>
        <w:spacing w:after="14" w:line="266" w:lineRule="auto"/>
        <w:ind w:right="57" w:firstLine="552"/>
        <w:jc w:val="center"/>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Е(</w:t>
      </w:r>
      <w:r w:rsidRPr="00DD73A8">
        <w:rPr>
          <w:rFonts w:ascii="Times New Roman" w:eastAsia="Times New Roman" w:hAnsi="Times New Roman" w:cs="Times New Roman"/>
          <w:i/>
          <w:color w:val="000000"/>
          <w:sz w:val="28"/>
          <w:szCs w:val="28"/>
          <w:lang w:eastAsia="uk-UA"/>
        </w:rPr>
        <w:t>х</w:t>
      </w:r>
      <w:r w:rsidRPr="00DD73A8">
        <w:rPr>
          <w:rFonts w:ascii="Times New Roman" w:eastAsia="Times New Roman" w:hAnsi="Times New Roman" w:cs="Times New Roman"/>
          <w:color w:val="000000"/>
          <w:sz w:val="28"/>
          <w:szCs w:val="28"/>
          <w:lang w:eastAsia="uk-UA"/>
        </w:rPr>
        <w:t>) = А1Х1+А2Х2+ ... +АпХп.                      (</w:t>
      </w:r>
      <w:r w:rsidRPr="00DD73A8">
        <w:rPr>
          <w:rFonts w:ascii="Times New Roman" w:eastAsia="Times New Roman" w:hAnsi="Times New Roman" w:cs="Times New Roman"/>
          <w:color w:val="000000"/>
          <w:sz w:val="28"/>
          <w:szCs w:val="28"/>
          <w:lang w:val="uk-UA" w:eastAsia="uk-UA"/>
        </w:rPr>
        <w:t>2</w:t>
      </w:r>
      <w:r w:rsidRPr="00DD73A8">
        <w:rPr>
          <w:rFonts w:ascii="Times New Roman" w:eastAsia="Times New Roman" w:hAnsi="Times New Roman" w:cs="Times New Roman"/>
          <w:color w:val="000000"/>
          <w:sz w:val="28"/>
          <w:szCs w:val="28"/>
          <w:lang w:eastAsia="uk-UA"/>
        </w:rPr>
        <w:t>.</w:t>
      </w:r>
      <w:r w:rsidRPr="00DD73A8">
        <w:rPr>
          <w:rFonts w:ascii="Times New Roman" w:eastAsia="Times New Roman" w:hAnsi="Times New Roman" w:cs="Times New Roman"/>
          <w:color w:val="000000"/>
          <w:sz w:val="28"/>
          <w:szCs w:val="28"/>
          <w:lang w:val="uk-UA" w:eastAsia="uk-UA"/>
        </w:rPr>
        <w:t>1</w:t>
      </w:r>
      <w:r w:rsidRPr="00DD73A8">
        <w:rPr>
          <w:rFonts w:ascii="Times New Roman" w:eastAsia="Times New Roman" w:hAnsi="Times New Roman" w:cs="Times New Roman"/>
          <w:color w:val="000000"/>
          <w:sz w:val="28"/>
          <w:szCs w:val="28"/>
          <w:lang w:eastAsia="uk-UA"/>
        </w:rPr>
        <w:t>)</w:t>
      </w:r>
    </w:p>
    <w:p w:rsidR="000B476F" w:rsidRPr="00DD73A8" w:rsidRDefault="000B476F" w:rsidP="000B476F">
      <w:pPr>
        <w:spacing w:after="14" w:line="266" w:lineRule="auto"/>
        <w:ind w:right="57" w:firstLine="552"/>
        <w:jc w:val="center"/>
        <w:rPr>
          <w:rFonts w:ascii="Times New Roman" w:eastAsia="Times New Roman" w:hAnsi="Times New Roman" w:cs="Times New Roman"/>
          <w:color w:val="000000"/>
          <w:sz w:val="28"/>
          <w:szCs w:val="28"/>
          <w:lang w:eastAsia="uk-UA"/>
        </w:rPr>
      </w:pPr>
    </w:p>
    <w:p w:rsidR="000B476F" w:rsidRPr="00DD73A8" w:rsidRDefault="000B476F" w:rsidP="000B476F">
      <w:p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Calibri" w:eastAsia="Calibri" w:hAnsi="Calibri" w:cs="Times New Roman"/>
          <w:noProof/>
          <w:lang w:eastAsia="ru-RU"/>
        </w:rPr>
        <w:drawing>
          <wp:inline distT="0" distB="0" distL="0" distR="0" wp14:anchorId="6297DC4F" wp14:editId="76EBAAFF">
            <wp:extent cx="5600700" cy="4503420"/>
            <wp:effectExtent l="0" t="0" r="0" b="0"/>
            <wp:docPr id="10" name="Picture 201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29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00700" cy="4503420"/>
                    </a:xfrm>
                    <a:prstGeom prst="rect">
                      <a:avLst/>
                    </a:prstGeom>
                    <a:noFill/>
                    <a:ln>
                      <a:noFill/>
                    </a:ln>
                  </pic:spPr>
                </pic:pic>
              </a:graphicData>
            </a:graphic>
          </wp:inline>
        </w:drawing>
      </w:r>
    </w:p>
    <w:p w:rsidR="000B476F" w:rsidRPr="00DD73A8" w:rsidRDefault="000B476F" w:rsidP="000B476F">
      <w:pPr>
        <w:spacing w:after="14" w:line="266" w:lineRule="auto"/>
        <w:ind w:right="57"/>
        <w:jc w:val="both"/>
        <w:rPr>
          <w:rFonts w:ascii="Times New Roman" w:eastAsia="Times New Roman" w:hAnsi="Times New Roman" w:cs="Times New Roman"/>
          <w:color w:val="000000"/>
          <w:sz w:val="28"/>
          <w:szCs w:val="28"/>
          <w:lang w:eastAsia="uk-UA"/>
        </w:rPr>
      </w:pP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Рис</w:t>
      </w:r>
      <w:r w:rsidRPr="00DD73A8">
        <w:rPr>
          <w:rFonts w:ascii="Times New Roman" w:eastAsia="Times New Roman" w:hAnsi="Times New Roman" w:cs="Times New Roman"/>
          <w:color w:val="000000"/>
          <w:sz w:val="28"/>
          <w:szCs w:val="28"/>
          <w:lang w:val="uk-UA" w:eastAsia="uk-UA"/>
        </w:rPr>
        <w:t>унок 2</w:t>
      </w:r>
      <w:r w:rsidRPr="00DD73A8">
        <w:rPr>
          <w:rFonts w:ascii="Times New Roman" w:eastAsia="Times New Roman" w:hAnsi="Times New Roman" w:cs="Times New Roman"/>
          <w:color w:val="000000"/>
          <w:sz w:val="28"/>
          <w:szCs w:val="28"/>
          <w:lang w:eastAsia="uk-UA"/>
        </w:rPr>
        <w:t>.</w:t>
      </w:r>
      <w:r w:rsidRPr="00DD73A8">
        <w:rPr>
          <w:rFonts w:ascii="Times New Roman" w:eastAsia="Times New Roman" w:hAnsi="Times New Roman" w:cs="Times New Roman"/>
          <w:color w:val="000000"/>
          <w:sz w:val="28"/>
          <w:szCs w:val="28"/>
          <w:lang w:val="uk-UA" w:eastAsia="uk-UA"/>
        </w:rPr>
        <w:t>4 -</w:t>
      </w:r>
      <w:r w:rsidRPr="00DD73A8">
        <w:rPr>
          <w:rFonts w:ascii="Times New Roman" w:eastAsia="Times New Roman" w:hAnsi="Times New Roman" w:cs="Times New Roman"/>
          <w:color w:val="000000"/>
          <w:sz w:val="28"/>
          <w:szCs w:val="28"/>
          <w:lang w:eastAsia="uk-UA"/>
        </w:rPr>
        <w:t xml:space="preserve"> Блок-схема аналізу ризику за статистичним методом </w:t>
      </w: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Середня величина являє собою узагальнену кількісну характеристику та не дозволяє прийняти рішення на користь певного варіанта вкладення капіталу. Для остаточного рішення необхідно оцінити коливання показників, тобто визначити коливання можливого результату. Воно являє собою ступінь відхилення очікуваного значення від середньої величини. Для його визначення звичайно вираховують дисперсію або середньоквадратичне відхилення. </w:t>
      </w: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val="uk-UA" w:eastAsia="uk-UA"/>
        </w:rPr>
      </w:pPr>
      <w:r w:rsidRPr="00DD73A8">
        <w:rPr>
          <w:rFonts w:ascii="Times New Roman" w:eastAsia="Times New Roman" w:hAnsi="Times New Roman" w:cs="Times New Roman"/>
          <w:color w:val="000000"/>
          <w:sz w:val="28"/>
          <w:szCs w:val="28"/>
          <w:lang w:eastAsia="uk-UA"/>
        </w:rPr>
        <w:t>Дисперсія</w:t>
      </w:r>
      <w:r w:rsidRPr="00DD73A8">
        <w:rPr>
          <w:rFonts w:ascii="Times New Roman" w:eastAsia="Times New Roman" w:hAnsi="Times New Roman" w:cs="Times New Roman"/>
          <w:color w:val="000000"/>
          <w:sz w:val="28"/>
          <w:szCs w:val="28"/>
          <w:lang w:val="uk-UA" w:eastAsia="uk-UA"/>
        </w:rPr>
        <w:t xml:space="preserve"> </w:t>
      </w:r>
      <w:r w:rsidRPr="00DD73A8">
        <w:rPr>
          <w:rFonts w:ascii="Times New Roman" w:eastAsia="Times New Roman" w:hAnsi="Times New Roman" w:cs="Times New Roman"/>
          <w:color w:val="000000"/>
          <w:sz w:val="28"/>
          <w:szCs w:val="28"/>
          <w:lang w:eastAsia="uk-UA"/>
        </w:rPr>
        <w:t>являє собою середнє зважене з квадратів відхилень дійсних результатів від середніх очікуваних</w:t>
      </w:r>
      <w:r w:rsidRPr="00DD73A8">
        <w:rPr>
          <w:rFonts w:ascii="Times New Roman" w:eastAsia="Times New Roman" w:hAnsi="Times New Roman" w:cs="Times New Roman"/>
          <w:color w:val="000000"/>
          <w:sz w:val="28"/>
          <w:szCs w:val="28"/>
          <w:lang w:val="uk-UA" w:eastAsia="uk-UA"/>
        </w:rPr>
        <w:t>.</w:t>
      </w: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val="uk-UA" w:eastAsia="uk-UA"/>
        </w:rPr>
        <w:t xml:space="preserve">Середнє квадратичне відхилення є номінованою величиною і має такі самі одиниці вимірювання, як і варіативна ознака. </w:t>
      </w:r>
      <w:r w:rsidRPr="00DD73A8">
        <w:rPr>
          <w:rFonts w:ascii="Times New Roman" w:eastAsia="Times New Roman" w:hAnsi="Times New Roman" w:cs="Times New Roman"/>
          <w:color w:val="000000"/>
          <w:sz w:val="28"/>
          <w:szCs w:val="28"/>
          <w:lang w:eastAsia="uk-UA"/>
        </w:rPr>
        <w:t xml:space="preserve">Дисперсія і середнє квадратичне відхилення є мірами абсолютного коливання. </w:t>
      </w: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lastRenderedPageBreak/>
        <w:t xml:space="preserve">Коефіцієнт варіації – відносна величина. За допомогою цього показника можливо порівняти навіть коливання ознак, що мають різні одиниці вимірювання - чим більша величина коефіцієнта, тим більшим </w:t>
      </w:r>
      <w:proofErr w:type="gramStart"/>
      <w:r w:rsidRPr="00DD73A8">
        <w:rPr>
          <w:rFonts w:ascii="Times New Roman" w:eastAsia="Times New Roman" w:hAnsi="Times New Roman" w:cs="Times New Roman"/>
          <w:color w:val="000000"/>
          <w:sz w:val="28"/>
          <w:szCs w:val="28"/>
          <w:lang w:eastAsia="uk-UA"/>
        </w:rPr>
        <w:t>є  коливання</w:t>
      </w:r>
      <w:proofErr w:type="gramEnd"/>
      <w:r w:rsidRPr="00DD73A8">
        <w:rPr>
          <w:rFonts w:ascii="Times New Roman" w:eastAsia="Times New Roman" w:hAnsi="Times New Roman" w:cs="Times New Roman"/>
          <w:color w:val="000000"/>
          <w:sz w:val="28"/>
          <w:szCs w:val="28"/>
          <w:lang w:eastAsia="uk-UA"/>
        </w:rPr>
        <w:t xml:space="preserve">.  </w:t>
      </w: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Метод</w:t>
      </w:r>
      <w:r w:rsidRPr="00DD73A8">
        <w:rPr>
          <w:rFonts w:ascii="Times New Roman" w:eastAsia="Times New Roman" w:hAnsi="Times New Roman" w:cs="Times New Roman"/>
          <w:color w:val="000000"/>
          <w:sz w:val="28"/>
          <w:szCs w:val="28"/>
          <w:lang w:eastAsia="uk-UA"/>
        </w:rPr>
        <w:t xml:space="preserve"> </w:t>
      </w:r>
      <w:r w:rsidRPr="00DD73A8">
        <w:rPr>
          <w:rFonts w:ascii="Times New Roman" w:eastAsia="Times New Roman" w:hAnsi="Times New Roman" w:cs="Times New Roman"/>
          <w:i/>
          <w:color w:val="000000"/>
          <w:sz w:val="28"/>
          <w:szCs w:val="28"/>
          <w:lang w:eastAsia="uk-UA"/>
        </w:rPr>
        <w:t>експертних оцінок</w:t>
      </w:r>
      <w:r w:rsidRPr="00DD73A8">
        <w:rPr>
          <w:rFonts w:ascii="Times New Roman" w:eastAsia="Times New Roman" w:hAnsi="Times New Roman" w:cs="Times New Roman"/>
          <w:color w:val="000000"/>
          <w:sz w:val="28"/>
          <w:szCs w:val="28"/>
          <w:lang w:eastAsia="uk-UA"/>
        </w:rPr>
        <w:t xml:space="preserve"> відрізняється від статистичного лише способом збирання інформації для побудови кривої ризику. При цьому методі передбачають збирання та вивчення оцінок, зроблених різними спеціалістами (певного підприємства чи незалежними експертами), які стосуються ймовірності виникнення різних розмірів витрат. Оцінювання базуються на врахуванні всіх факторів фінансового ризику, а також на статистичних даних. Реалізація способу експертних оцінок значно ускладнюється, якщо кількість показників оцінювання мала.</w:t>
      </w:r>
      <w:r w:rsidRPr="00DD73A8">
        <w:rPr>
          <w:rFonts w:ascii="Times New Roman" w:eastAsia="Times New Roman" w:hAnsi="Times New Roman" w:cs="Times New Roman"/>
          <w:b/>
          <w:color w:val="000000"/>
          <w:sz w:val="28"/>
          <w:szCs w:val="28"/>
          <w:lang w:eastAsia="uk-UA"/>
        </w:rPr>
        <w:t xml:space="preserve"> </w:t>
      </w: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Зростання ризику при здійсненні проекту потребує більш точного оцінювання критичних моментів його реалізації. Велика кількість вихідних показників, які часто конкурують між собою, передбачає використання експертних оцінок для конструювання критерію якості проекту. Тому система оцінювання інвестицій в сучасних умовах внаслідок необхідності є «людиноалгоритмічною», причому роль людини – експерта є визначною.  </w:t>
      </w: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Експертна оцінювання</w:t>
      </w:r>
      <w:r w:rsidRPr="00DD73A8">
        <w:rPr>
          <w:rFonts w:ascii="Times New Roman" w:eastAsia="Times New Roman" w:hAnsi="Times New Roman" w:cs="Times New Roman"/>
          <w:b/>
          <w:color w:val="000000"/>
          <w:sz w:val="28"/>
          <w:szCs w:val="28"/>
          <w:lang w:eastAsia="uk-UA"/>
        </w:rPr>
        <w:t xml:space="preserve"> – </w:t>
      </w:r>
      <w:r w:rsidRPr="00DD73A8">
        <w:rPr>
          <w:rFonts w:ascii="Times New Roman" w:eastAsia="Times New Roman" w:hAnsi="Times New Roman" w:cs="Times New Roman"/>
          <w:color w:val="000000"/>
          <w:sz w:val="28"/>
          <w:szCs w:val="28"/>
          <w:lang w:eastAsia="uk-UA"/>
        </w:rPr>
        <w:t>це виявлена за спеціальною методикою думка експертів стосовно певного питання. Постадійне оцінювання</w:t>
      </w:r>
      <w:r w:rsidRPr="00DD73A8">
        <w:rPr>
          <w:rFonts w:ascii="Times New Roman" w:eastAsia="Times New Roman" w:hAnsi="Times New Roman" w:cs="Times New Roman"/>
          <w:b/>
          <w:i/>
          <w:color w:val="000000"/>
          <w:sz w:val="28"/>
          <w:szCs w:val="28"/>
          <w:lang w:eastAsia="uk-UA"/>
        </w:rPr>
        <w:t xml:space="preserve"> </w:t>
      </w:r>
      <w:r w:rsidRPr="00DD73A8">
        <w:rPr>
          <w:rFonts w:ascii="Times New Roman" w:eastAsia="Times New Roman" w:hAnsi="Times New Roman" w:cs="Times New Roman"/>
          <w:color w:val="000000"/>
          <w:sz w:val="28"/>
          <w:szCs w:val="28"/>
          <w:lang w:eastAsia="uk-UA"/>
        </w:rPr>
        <w:t xml:space="preserve">ризиків засноване на тому, що ризики визначають для кожної стадії проекту окремо, а потім отримують сумарний результат по всьому проекту. У кожному проекті виділяють такі стадії: підготовчу (виконання всього комплексу робіт, які необхідні </w:t>
      </w:r>
      <w:proofErr w:type="gramStart"/>
      <w:r w:rsidRPr="00DD73A8">
        <w:rPr>
          <w:rFonts w:ascii="Times New Roman" w:eastAsia="Times New Roman" w:hAnsi="Times New Roman" w:cs="Times New Roman"/>
          <w:color w:val="000000"/>
          <w:sz w:val="28"/>
          <w:szCs w:val="28"/>
          <w:lang w:eastAsia="uk-UA"/>
        </w:rPr>
        <w:t>для початку</w:t>
      </w:r>
      <w:proofErr w:type="gramEnd"/>
      <w:r w:rsidRPr="00DD73A8">
        <w:rPr>
          <w:rFonts w:ascii="Times New Roman" w:eastAsia="Times New Roman" w:hAnsi="Times New Roman" w:cs="Times New Roman"/>
          <w:color w:val="000000"/>
          <w:sz w:val="28"/>
          <w:szCs w:val="28"/>
          <w:lang w:eastAsia="uk-UA"/>
        </w:rPr>
        <w:t xml:space="preserve"> реалізації проекту); будівельну (зведення необхідних будівель та споруд, закупівля та монтаж обладнання); функціонування (виведення проекту на повну потужність та отримання прибутку). Усі розрахунки виконуються двічі ‒ на момент складання проекту і після виявлення найбільш небезпечних його елементів. </w:t>
      </w: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Характер інвестиційного проекту передбачає використання думок експертів. Кожному експерту, який працює окремо, надається перелік первісних ризиків по всіх стадіях проекту і пропонується оцінити вірогідність настання ризиків відповідно до такої системи оцінок: </w:t>
      </w:r>
    </w:p>
    <w:p w:rsidR="000B476F" w:rsidRPr="00DD73A8" w:rsidRDefault="000B476F" w:rsidP="000B476F">
      <w:pPr>
        <w:numPr>
          <w:ilvl w:val="0"/>
          <w:numId w:val="4"/>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0 – ризик розглядається як несуттєвий; </w:t>
      </w:r>
    </w:p>
    <w:p w:rsidR="000B476F" w:rsidRPr="00DD73A8" w:rsidRDefault="000B476F" w:rsidP="000B476F">
      <w:pPr>
        <w:numPr>
          <w:ilvl w:val="0"/>
          <w:numId w:val="4"/>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25 – ризик скоріше за все не реалізується; </w:t>
      </w:r>
    </w:p>
    <w:p w:rsidR="000B476F" w:rsidRPr="00DD73A8" w:rsidRDefault="000B476F" w:rsidP="000B476F">
      <w:pPr>
        <w:numPr>
          <w:ilvl w:val="0"/>
          <w:numId w:val="4"/>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50 – про настання події нічого визначеного сказати неможливо; </w:t>
      </w:r>
    </w:p>
    <w:p w:rsidR="000B476F" w:rsidRPr="00DD73A8" w:rsidRDefault="000B476F" w:rsidP="000B476F">
      <w:pPr>
        <w:numPr>
          <w:ilvl w:val="0"/>
          <w:numId w:val="4"/>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75 – ризик скоріше за все проявиться; </w:t>
      </w:r>
    </w:p>
    <w:p w:rsidR="000B476F" w:rsidRPr="00DD73A8" w:rsidRDefault="000B476F" w:rsidP="000B476F">
      <w:pPr>
        <w:numPr>
          <w:ilvl w:val="0"/>
          <w:numId w:val="4"/>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100 – ризик реалізується. </w:t>
      </w: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Оцінювання експертів підлягають аналізу на несуперечливість, який виконується за певними правилами. По-перше, максимально припустима різниця між оцінюваннями двох експертів з будь-якого фактора не повинна перевищувати 50. Порівняння проводять за модулем (знак «+» чи «–» не </w:t>
      </w:r>
      <w:r w:rsidRPr="00DD73A8">
        <w:rPr>
          <w:rFonts w:ascii="Times New Roman" w:eastAsia="Times New Roman" w:hAnsi="Times New Roman" w:cs="Times New Roman"/>
          <w:color w:val="000000"/>
          <w:sz w:val="28"/>
          <w:szCs w:val="28"/>
          <w:lang w:eastAsia="uk-UA"/>
        </w:rPr>
        <w:lastRenderedPageBreak/>
        <w:t xml:space="preserve">враховується), що дозволяє уникнути неприпустимі відмінності в оцінюваннях експертами імовірності настання окремого ризику. Якщо кількість експертів більше трьох, то оцінюванню підлягають думки, які попарно порівнюють. </w:t>
      </w: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Різновидом експертного методу є </w:t>
      </w:r>
      <w:r w:rsidRPr="00DD73A8">
        <w:rPr>
          <w:rFonts w:ascii="Times New Roman" w:eastAsia="Times New Roman" w:hAnsi="Times New Roman" w:cs="Times New Roman"/>
          <w:i/>
          <w:color w:val="000000"/>
          <w:sz w:val="28"/>
          <w:szCs w:val="28"/>
          <w:lang w:eastAsia="uk-UA"/>
        </w:rPr>
        <w:t>метод Дельфі</w:t>
      </w:r>
      <w:r w:rsidRPr="00DD73A8">
        <w:rPr>
          <w:rFonts w:ascii="Times New Roman" w:eastAsia="Times New Roman" w:hAnsi="Times New Roman" w:cs="Times New Roman"/>
          <w:color w:val="000000"/>
          <w:sz w:val="28"/>
          <w:szCs w:val="28"/>
          <w:lang w:eastAsia="uk-UA"/>
        </w:rPr>
        <w:t xml:space="preserve">. Він характеризується анонімністю і керованим зворотним зв’язком. Анонімність членів комісії забезпечується шляхом їх ізолювання один від одного, що не дає їм можливості обговорювати відповіді на поставлені питання. Мета такої ізоляції – уникнути «пасток» групового прийняття рішення, домінування думки лідера. Після обробки результату через керований зворотний зв’язок узагальнений результат повідомляється кожному члену комісії. Основна мета такої дії – дозволити ознайомитись з оцінюваннями інших членів комісії, не підпадаючи під натиск через знання того, хто конкретно дав цю оцінку. Після цього оцінювання може бути повторене. </w:t>
      </w: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При експертній оцінці підприємницького ризику велику увагу слід приділяти підбору експертів, тому що саме від правильності їх </w:t>
      </w:r>
      <w:proofErr w:type="gramStart"/>
      <w:r w:rsidRPr="00DD73A8">
        <w:rPr>
          <w:rFonts w:ascii="Times New Roman" w:eastAsia="Times New Roman" w:hAnsi="Times New Roman" w:cs="Times New Roman"/>
          <w:color w:val="000000"/>
          <w:sz w:val="28"/>
          <w:szCs w:val="28"/>
          <w:lang w:eastAsia="uk-UA"/>
        </w:rPr>
        <w:t>оцінок  залежить</w:t>
      </w:r>
      <w:proofErr w:type="gramEnd"/>
      <w:r w:rsidRPr="00DD73A8">
        <w:rPr>
          <w:rFonts w:ascii="Times New Roman" w:eastAsia="Times New Roman" w:hAnsi="Times New Roman" w:cs="Times New Roman"/>
          <w:color w:val="000000"/>
          <w:sz w:val="28"/>
          <w:szCs w:val="28"/>
          <w:lang w:eastAsia="uk-UA"/>
        </w:rPr>
        <w:t xml:space="preserve"> рішення про вибір того чи іншого підприємницького проекту. </w:t>
      </w: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Метод аналогів</w:t>
      </w:r>
      <w:r w:rsidRPr="00DD73A8">
        <w:rPr>
          <w:rFonts w:ascii="Times New Roman" w:eastAsia="Times New Roman" w:hAnsi="Times New Roman" w:cs="Times New Roman"/>
          <w:color w:val="000000"/>
          <w:sz w:val="28"/>
          <w:szCs w:val="28"/>
          <w:lang w:eastAsia="uk-UA"/>
        </w:rPr>
        <w:t xml:space="preserve"> полягає в тому, що при аналізі ступеня ризику напрямку підприємницької діяльності доцільно вживати дані про розвиток аналогічного напряму в минулому. При цьому аналіз минулих факторів ризику проводиться на підставі інформації, одержаної з найрізноманітніших джерел. Після цього інформація обробляється з метою виявлення залежностей між запланованими результатами діяльності фірми і </w:t>
      </w:r>
      <w:proofErr w:type="gramStart"/>
      <w:r w:rsidRPr="00DD73A8">
        <w:rPr>
          <w:rFonts w:ascii="Times New Roman" w:eastAsia="Times New Roman" w:hAnsi="Times New Roman" w:cs="Times New Roman"/>
          <w:color w:val="000000"/>
          <w:sz w:val="28"/>
          <w:szCs w:val="28"/>
          <w:lang w:eastAsia="uk-UA"/>
        </w:rPr>
        <w:t>урахуванням  потенційних</w:t>
      </w:r>
      <w:proofErr w:type="gramEnd"/>
      <w:r w:rsidRPr="00DD73A8">
        <w:rPr>
          <w:rFonts w:ascii="Times New Roman" w:eastAsia="Times New Roman" w:hAnsi="Times New Roman" w:cs="Times New Roman"/>
          <w:color w:val="000000"/>
          <w:sz w:val="28"/>
          <w:szCs w:val="28"/>
          <w:lang w:eastAsia="uk-UA"/>
        </w:rPr>
        <w:t xml:space="preserve"> ризиків. </w:t>
      </w: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Аналітичний метод</w:t>
      </w:r>
      <w:r w:rsidRPr="00DD73A8">
        <w:rPr>
          <w:rFonts w:ascii="Times New Roman" w:eastAsia="Times New Roman" w:hAnsi="Times New Roman" w:cs="Times New Roman"/>
          <w:color w:val="000000"/>
          <w:sz w:val="28"/>
          <w:szCs w:val="28"/>
          <w:lang w:eastAsia="uk-UA"/>
        </w:rPr>
        <w:t xml:space="preserve"> доцільно довести до таких взаємопов’язаних етапів: </w:t>
      </w:r>
    </w:p>
    <w:p w:rsidR="000B476F" w:rsidRPr="00DD73A8" w:rsidRDefault="000B476F" w:rsidP="000B476F">
      <w:pPr>
        <w:spacing w:after="14" w:line="266" w:lineRule="auto"/>
        <w:ind w:left="346"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val="uk-UA" w:eastAsia="uk-UA"/>
        </w:rPr>
        <w:t xml:space="preserve">1) </w:t>
      </w:r>
      <w:r w:rsidRPr="00DD73A8">
        <w:rPr>
          <w:rFonts w:ascii="Times New Roman" w:eastAsia="Times New Roman" w:hAnsi="Times New Roman" w:cs="Times New Roman"/>
          <w:color w:val="000000"/>
          <w:sz w:val="28"/>
          <w:szCs w:val="28"/>
          <w:lang w:eastAsia="uk-UA"/>
        </w:rPr>
        <w:t xml:space="preserve">аналітична обробка одержаної інформації; </w:t>
      </w:r>
    </w:p>
    <w:p w:rsidR="000B476F" w:rsidRPr="00DD73A8" w:rsidRDefault="000B476F" w:rsidP="000B476F">
      <w:pPr>
        <w:spacing w:after="14" w:line="266" w:lineRule="auto"/>
        <w:ind w:left="346"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val="uk-UA" w:eastAsia="uk-UA"/>
        </w:rPr>
        <w:t xml:space="preserve">2) </w:t>
      </w:r>
      <w:r w:rsidRPr="00DD73A8">
        <w:rPr>
          <w:rFonts w:ascii="Times New Roman" w:eastAsia="Times New Roman" w:hAnsi="Times New Roman" w:cs="Times New Roman"/>
          <w:color w:val="000000"/>
          <w:sz w:val="28"/>
          <w:szCs w:val="28"/>
          <w:lang w:eastAsia="uk-UA"/>
        </w:rPr>
        <w:t xml:space="preserve">побудова діаграм залежності вибраних результативних показників від величини вихідних параметрів; </w:t>
      </w:r>
    </w:p>
    <w:p w:rsidR="000B476F" w:rsidRPr="00DD73A8" w:rsidRDefault="000B476F" w:rsidP="000B476F">
      <w:pPr>
        <w:numPr>
          <w:ilvl w:val="0"/>
          <w:numId w:val="5"/>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визначення критичних значень ключових параметрів; </w:t>
      </w:r>
    </w:p>
    <w:p w:rsidR="000B476F" w:rsidRPr="00DD73A8" w:rsidRDefault="000B476F" w:rsidP="000B476F">
      <w:pPr>
        <w:spacing w:after="14" w:line="266" w:lineRule="auto"/>
        <w:ind w:left="346"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val="uk-UA" w:eastAsia="uk-UA"/>
        </w:rPr>
        <w:t xml:space="preserve">4) </w:t>
      </w:r>
      <w:r w:rsidRPr="00DD73A8">
        <w:rPr>
          <w:rFonts w:ascii="Times New Roman" w:eastAsia="Times New Roman" w:hAnsi="Times New Roman" w:cs="Times New Roman"/>
          <w:color w:val="000000"/>
          <w:sz w:val="28"/>
          <w:szCs w:val="28"/>
          <w:lang w:eastAsia="uk-UA"/>
        </w:rPr>
        <w:t xml:space="preserve">аналіз факторів, які впливають на ключові параметри, можливі напрямки їхньої ефективності та стабільності роботи фірми. </w:t>
      </w: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Перевага цього методу полягає в тому, що він поєднує можливості пофакторного аналізу параметрів, які впливають на ступінь ризику та імовірність його зниження. </w:t>
      </w: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Метод доцільності витрат</w:t>
      </w:r>
      <w:r w:rsidRPr="00DD73A8">
        <w:rPr>
          <w:rFonts w:ascii="Times New Roman" w:eastAsia="Times New Roman" w:hAnsi="Times New Roman" w:cs="Times New Roman"/>
          <w:color w:val="000000"/>
          <w:sz w:val="28"/>
          <w:szCs w:val="28"/>
          <w:lang w:eastAsia="uk-UA"/>
        </w:rPr>
        <w:t xml:space="preserve"> ґрунтується на тому, що в процесі господарської діяльності витрати поділяються за елементами і за напрямками, тому що вони не мають однакового значення. Тобто ступінь ризику за окремими елементами витрат усередині одного й того самого напрямку діяльності різна. Тому визначення ступеня ризику за цим методом орієнтовано на ідентифікацію потенційних зон ризику. Такий підхід також доцільно проводити з позиції можливості визначення вузьких місць діяльності </w:t>
      </w:r>
      <w:r w:rsidRPr="00DD73A8">
        <w:rPr>
          <w:rFonts w:ascii="Times New Roman" w:eastAsia="Times New Roman" w:hAnsi="Times New Roman" w:cs="Times New Roman"/>
          <w:color w:val="000000"/>
          <w:sz w:val="28"/>
          <w:szCs w:val="28"/>
          <w:lang w:eastAsia="uk-UA"/>
        </w:rPr>
        <w:lastRenderedPageBreak/>
        <w:t xml:space="preserve">підприємства, з погляду їхньої ризикованості, а потім розробити шляхи їх ліквідації. </w:t>
      </w: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Теорія ігор –</w:t>
      </w:r>
      <w:r w:rsidRPr="00DD73A8">
        <w:rPr>
          <w:rFonts w:ascii="Times New Roman" w:eastAsia="Times New Roman" w:hAnsi="Times New Roman" w:cs="Times New Roman"/>
          <w:color w:val="000000"/>
          <w:sz w:val="28"/>
          <w:szCs w:val="28"/>
          <w:lang w:eastAsia="uk-UA"/>
        </w:rPr>
        <w:t xml:space="preserve"> математичний апарат для вибору стратегії для ризику. Він дозволяє підприємцю або менеджеру краще розуміти конкретну ситуацію та довести до мінімуму ступінь ризику.  </w:t>
      </w: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Ще один важливий метод дослідження ризику – </w:t>
      </w:r>
      <w:r w:rsidRPr="00DD73A8">
        <w:rPr>
          <w:rFonts w:ascii="Times New Roman" w:eastAsia="Times New Roman" w:hAnsi="Times New Roman" w:cs="Times New Roman"/>
          <w:i/>
          <w:color w:val="000000"/>
          <w:sz w:val="28"/>
          <w:szCs w:val="28"/>
          <w:lang w:eastAsia="uk-UA"/>
        </w:rPr>
        <w:t>моделювання задачі вибору за допомогою «дерева рішень».</w:t>
      </w:r>
      <w:r w:rsidRPr="00DD73A8">
        <w:rPr>
          <w:rFonts w:ascii="Times New Roman" w:eastAsia="Times New Roman" w:hAnsi="Times New Roman" w:cs="Times New Roman"/>
          <w:color w:val="000000"/>
          <w:sz w:val="28"/>
          <w:szCs w:val="28"/>
          <w:lang w:eastAsia="uk-UA"/>
        </w:rPr>
        <w:t xml:space="preserve"> Цей метод передбачає графічну побудову варіантів рішень, які можуть бути прийняті. По гілках «дерева» співвідносять суб’єктивні та об’єктивні оцінювання можливих подій. Прямуючи вздовж побудованих гілок і використовуючи спеціальні методики розрахунку ймовірностей, оцінюють кожен шлях і потім обирають менш ризикований. Однак цей метод дуже трудомісткий.  </w:t>
      </w: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Крім того, у «дереві» враховуються тільки ті дії, які має намір здійснити підприємець, і тільки ті результати, які, на його думку, можуть мати місце. При цьому зовсім не враховується вплив зовнішнього середовища на діяльність фірми, а підприємець не завжди може передбачити дії партнерів, конкурентів. </w:t>
      </w: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Порівняльна характеристика методів оцінювання підприємницьких ризиків наведена в табл. </w:t>
      </w:r>
      <w:r w:rsidRPr="00DD73A8">
        <w:rPr>
          <w:rFonts w:ascii="Times New Roman" w:eastAsia="Times New Roman" w:hAnsi="Times New Roman" w:cs="Times New Roman"/>
          <w:color w:val="000000"/>
          <w:sz w:val="28"/>
          <w:szCs w:val="28"/>
          <w:lang w:val="uk-UA" w:eastAsia="uk-UA"/>
        </w:rPr>
        <w:t>2</w:t>
      </w:r>
      <w:r w:rsidRPr="00DD73A8">
        <w:rPr>
          <w:rFonts w:ascii="Times New Roman" w:eastAsia="Times New Roman" w:hAnsi="Times New Roman" w:cs="Times New Roman"/>
          <w:color w:val="000000"/>
          <w:sz w:val="28"/>
          <w:szCs w:val="28"/>
          <w:lang w:eastAsia="uk-UA"/>
        </w:rPr>
        <w:t xml:space="preserve">.1. </w:t>
      </w:r>
    </w:p>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Таблиця </w:t>
      </w:r>
      <w:r w:rsidRPr="00DD73A8">
        <w:rPr>
          <w:rFonts w:ascii="Times New Roman" w:eastAsia="Times New Roman" w:hAnsi="Times New Roman" w:cs="Times New Roman"/>
          <w:color w:val="000000"/>
          <w:sz w:val="28"/>
          <w:szCs w:val="28"/>
          <w:lang w:val="uk-UA" w:eastAsia="uk-UA"/>
        </w:rPr>
        <w:t>2</w:t>
      </w:r>
      <w:r w:rsidRPr="00DD73A8">
        <w:rPr>
          <w:rFonts w:ascii="Times New Roman" w:eastAsia="Times New Roman" w:hAnsi="Times New Roman" w:cs="Times New Roman"/>
          <w:color w:val="000000"/>
          <w:sz w:val="28"/>
          <w:szCs w:val="28"/>
          <w:lang w:eastAsia="uk-UA"/>
        </w:rPr>
        <w:t>.1</w:t>
      </w:r>
      <w:r w:rsidRPr="00DD73A8">
        <w:rPr>
          <w:rFonts w:ascii="Times New Roman" w:eastAsia="Times New Roman" w:hAnsi="Times New Roman" w:cs="Times New Roman"/>
          <w:color w:val="000000"/>
          <w:sz w:val="28"/>
          <w:szCs w:val="28"/>
          <w:lang w:val="uk-UA" w:eastAsia="uk-UA"/>
        </w:rPr>
        <w:t xml:space="preserve"> - </w:t>
      </w:r>
      <w:r w:rsidRPr="00DD73A8">
        <w:rPr>
          <w:rFonts w:ascii="Times New Roman" w:eastAsia="Times New Roman" w:hAnsi="Times New Roman" w:cs="Times New Roman"/>
          <w:color w:val="000000"/>
          <w:sz w:val="28"/>
          <w:szCs w:val="28"/>
          <w:lang w:eastAsia="uk-UA"/>
        </w:rPr>
        <w:t>Порівняльна характеристика методів оцінювання підприємницьких ризиків</w:t>
      </w:r>
    </w:p>
    <w:tbl>
      <w:tblPr>
        <w:tblW w:w="9628" w:type="dxa"/>
        <w:tblInd w:w="6" w:type="dxa"/>
        <w:tblLayout w:type="fixed"/>
        <w:tblCellMar>
          <w:top w:w="10" w:type="dxa"/>
          <w:left w:w="107" w:type="dxa"/>
          <w:right w:w="33" w:type="dxa"/>
        </w:tblCellMar>
        <w:tblLook w:val="04A0" w:firstRow="1" w:lastRow="0" w:firstColumn="1" w:lastColumn="0" w:noHBand="0" w:noVBand="1"/>
      </w:tblPr>
      <w:tblGrid>
        <w:gridCol w:w="1832"/>
        <w:gridCol w:w="2977"/>
        <w:gridCol w:w="2410"/>
        <w:gridCol w:w="2409"/>
      </w:tblGrid>
      <w:tr w:rsidR="000B476F" w:rsidRPr="00DD73A8" w:rsidTr="005D129A">
        <w:trPr>
          <w:trHeight w:val="520"/>
        </w:trPr>
        <w:tc>
          <w:tcPr>
            <w:tcW w:w="1832" w:type="dxa"/>
            <w:tcBorders>
              <w:top w:val="single" w:sz="4" w:space="0" w:color="000000"/>
              <w:left w:val="single" w:sz="4" w:space="0" w:color="000000"/>
              <w:bottom w:val="single" w:sz="4" w:space="0" w:color="000000"/>
              <w:right w:val="single" w:sz="4" w:space="0" w:color="000000"/>
            </w:tcBorders>
            <w:shd w:val="clear" w:color="auto" w:fill="EEECE1"/>
            <w:hideMark/>
          </w:tcPr>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Методи </w:t>
            </w:r>
          </w:p>
        </w:tc>
        <w:tc>
          <w:tcPr>
            <w:tcW w:w="2977" w:type="dxa"/>
            <w:tcBorders>
              <w:top w:val="single" w:sz="4" w:space="0" w:color="000000"/>
              <w:left w:val="single" w:sz="4" w:space="0" w:color="000000"/>
              <w:bottom w:val="single" w:sz="4" w:space="0" w:color="000000"/>
              <w:right w:val="single" w:sz="4" w:space="0" w:color="000000"/>
            </w:tcBorders>
            <w:shd w:val="clear" w:color="auto" w:fill="EEECE1"/>
            <w:hideMark/>
          </w:tcPr>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Сутність </w:t>
            </w:r>
          </w:p>
        </w:tc>
        <w:tc>
          <w:tcPr>
            <w:tcW w:w="2410" w:type="dxa"/>
            <w:tcBorders>
              <w:top w:val="single" w:sz="4" w:space="0" w:color="000000"/>
              <w:left w:val="single" w:sz="4" w:space="0" w:color="000000"/>
              <w:bottom w:val="single" w:sz="4" w:space="0" w:color="000000"/>
              <w:right w:val="single" w:sz="4" w:space="0" w:color="000000"/>
            </w:tcBorders>
            <w:shd w:val="clear" w:color="auto" w:fill="EEECE1"/>
            <w:hideMark/>
          </w:tcPr>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Переваги </w:t>
            </w:r>
          </w:p>
        </w:tc>
        <w:tc>
          <w:tcPr>
            <w:tcW w:w="2409" w:type="dxa"/>
            <w:tcBorders>
              <w:top w:val="single" w:sz="4" w:space="0" w:color="000000"/>
              <w:left w:val="single" w:sz="4" w:space="0" w:color="000000"/>
              <w:bottom w:val="single" w:sz="4" w:space="0" w:color="000000"/>
              <w:right w:val="single" w:sz="4" w:space="0" w:color="000000"/>
            </w:tcBorders>
            <w:shd w:val="clear" w:color="auto" w:fill="EEECE1"/>
            <w:hideMark/>
          </w:tcPr>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Недоліки </w:t>
            </w:r>
          </w:p>
        </w:tc>
      </w:tr>
      <w:tr w:rsidR="000B476F" w:rsidRPr="00DD73A8" w:rsidTr="005D129A">
        <w:trPr>
          <w:trHeight w:val="356"/>
        </w:trPr>
        <w:tc>
          <w:tcPr>
            <w:tcW w:w="1832" w:type="dxa"/>
            <w:tcBorders>
              <w:top w:val="single" w:sz="4" w:space="0" w:color="000000"/>
              <w:left w:val="single" w:sz="4" w:space="0" w:color="000000"/>
              <w:bottom w:val="single" w:sz="4" w:space="0" w:color="000000"/>
              <w:right w:val="single" w:sz="4" w:space="0" w:color="000000"/>
            </w:tcBorders>
            <w:hideMark/>
          </w:tcPr>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1 </w:t>
            </w:r>
          </w:p>
        </w:tc>
        <w:tc>
          <w:tcPr>
            <w:tcW w:w="2977" w:type="dxa"/>
            <w:tcBorders>
              <w:top w:val="single" w:sz="4" w:space="0" w:color="000000"/>
              <w:left w:val="single" w:sz="4" w:space="0" w:color="000000"/>
              <w:bottom w:val="single" w:sz="4" w:space="0" w:color="000000"/>
              <w:right w:val="single" w:sz="4" w:space="0" w:color="000000"/>
            </w:tcBorders>
            <w:hideMark/>
          </w:tcPr>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2 </w:t>
            </w:r>
          </w:p>
        </w:tc>
        <w:tc>
          <w:tcPr>
            <w:tcW w:w="2410" w:type="dxa"/>
            <w:tcBorders>
              <w:top w:val="single" w:sz="4" w:space="0" w:color="000000"/>
              <w:left w:val="single" w:sz="4" w:space="0" w:color="000000"/>
              <w:bottom w:val="single" w:sz="4" w:space="0" w:color="000000"/>
              <w:right w:val="single" w:sz="4" w:space="0" w:color="000000"/>
            </w:tcBorders>
            <w:hideMark/>
          </w:tcPr>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3 </w:t>
            </w:r>
          </w:p>
        </w:tc>
        <w:tc>
          <w:tcPr>
            <w:tcW w:w="2409" w:type="dxa"/>
            <w:tcBorders>
              <w:top w:val="single" w:sz="4" w:space="0" w:color="000000"/>
              <w:left w:val="single" w:sz="4" w:space="0" w:color="000000"/>
              <w:bottom w:val="single" w:sz="4" w:space="0" w:color="000000"/>
              <w:right w:val="single" w:sz="4" w:space="0" w:color="000000"/>
            </w:tcBorders>
            <w:hideMark/>
          </w:tcPr>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4 </w:t>
            </w:r>
          </w:p>
        </w:tc>
      </w:tr>
      <w:tr w:rsidR="000B476F" w:rsidRPr="00DD73A8" w:rsidTr="005D129A">
        <w:trPr>
          <w:trHeight w:val="1984"/>
        </w:trPr>
        <w:tc>
          <w:tcPr>
            <w:tcW w:w="1832" w:type="dxa"/>
            <w:tcBorders>
              <w:top w:val="single" w:sz="4" w:space="0" w:color="000000"/>
              <w:left w:val="single" w:sz="4" w:space="0" w:color="000000"/>
              <w:bottom w:val="single" w:sz="4" w:space="0" w:color="000000"/>
              <w:right w:val="single" w:sz="4" w:space="0" w:color="000000"/>
            </w:tcBorders>
            <w:hideMark/>
          </w:tcPr>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Побудова  «дерева подій» </w:t>
            </w:r>
          </w:p>
        </w:tc>
        <w:tc>
          <w:tcPr>
            <w:tcW w:w="2977" w:type="dxa"/>
            <w:tcBorders>
              <w:top w:val="single" w:sz="4" w:space="0" w:color="000000"/>
              <w:left w:val="single" w:sz="4" w:space="0" w:color="000000"/>
              <w:bottom w:val="single" w:sz="4" w:space="0" w:color="000000"/>
              <w:right w:val="single" w:sz="4" w:space="0" w:color="000000"/>
            </w:tcBorders>
            <w:hideMark/>
          </w:tcPr>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Графічний спосіб відображення спостережень за послідовністю окремих можливих ризиків з метою оцінювання ймовірності кожної з проміжних подій, які призводять до збитків </w:t>
            </w:r>
          </w:p>
        </w:tc>
        <w:tc>
          <w:tcPr>
            <w:tcW w:w="2410" w:type="dxa"/>
            <w:tcBorders>
              <w:top w:val="single" w:sz="4" w:space="0" w:color="000000"/>
              <w:left w:val="single" w:sz="4" w:space="0" w:color="000000"/>
              <w:bottom w:val="single" w:sz="4" w:space="0" w:color="000000"/>
              <w:right w:val="single" w:sz="4" w:space="0" w:color="000000"/>
            </w:tcBorders>
            <w:hideMark/>
          </w:tcPr>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Послідовно оцінюються наслідки кожної </w:t>
            </w:r>
            <w:r w:rsidRPr="00E22FF2">
              <w:rPr>
                <w:rFonts w:ascii="Times New Roman" w:eastAsia="Times New Roman" w:hAnsi="Times New Roman" w:cs="Times New Roman"/>
                <w:color w:val="000000"/>
                <w:lang w:eastAsia="uk-UA"/>
              </w:rPr>
              <w:tab/>
              <w:t xml:space="preserve">можливої вихідної події й обчислюється максимальна </w:t>
            </w:r>
            <w:r w:rsidRPr="00E22FF2">
              <w:rPr>
                <w:rFonts w:ascii="Times New Roman" w:eastAsia="Times New Roman" w:hAnsi="Times New Roman" w:cs="Times New Roman"/>
                <w:color w:val="000000"/>
                <w:lang w:eastAsia="uk-UA"/>
              </w:rPr>
              <w:tab/>
              <w:t>ймовір-</w:t>
            </w:r>
          </w:p>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ність кінцевої події </w:t>
            </w:r>
          </w:p>
        </w:tc>
        <w:tc>
          <w:tcPr>
            <w:tcW w:w="2409" w:type="dxa"/>
            <w:tcBorders>
              <w:top w:val="single" w:sz="4" w:space="0" w:color="000000"/>
              <w:left w:val="single" w:sz="4" w:space="0" w:color="000000"/>
              <w:bottom w:val="single" w:sz="4" w:space="0" w:color="000000"/>
              <w:right w:val="single" w:sz="4" w:space="0" w:color="000000"/>
            </w:tcBorders>
            <w:hideMark/>
          </w:tcPr>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Значні витрати часу на проведення повного комплексу досліджень. </w:t>
            </w:r>
          </w:p>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Можливе недооцінювання будь-якої ланки системи </w:t>
            </w:r>
          </w:p>
        </w:tc>
      </w:tr>
      <w:tr w:rsidR="000B476F" w:rsidRPr="00DD73A8" w:rsidTr="005D129A">
        <w:trPr>
          <w:trHeight w:val="1603"/>
        </w:trPr>
        <w:tc>
          <w:tcPr>
            <w:tcW w:w="1832" w:type="dxa"/>
            <w:tcBorders>
              <w:top w:val="single" w:sz="4" w:space="0" w:color="000000"/>
              <w:left w:val="single" w:sz="4" w:space="0" w:color="000000"/>
              <w:bottom w:val="single" w:sz="4" w:space="0" w:color="000000"/>
              <w:right w:val="single" w:sz="4" w:space="0" w:color="000000"/>
            </w:tcBorders>
            <w:hideMark/>
          </w:tcPr>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«Подіянаслідок» </w:t>
            </w:r>
          </w:p>
        </w:tc>
        <w:tc>
          <w:tcPr>
            <w:tcW w:w="2977" w:type="dxa"/>
            <w:tcBorders>
              <w:top w:val="single" w:sz="4" w:space="0" w:color="000000"/>
              <w:left w:val="single" w:sz="4" w:space="0" w:color="000000"/>
              <w:bottom w:val="single" w:sz="4" w:space="0" w:color="000000"/>
              <w:right w:val="single" w:sz="4" w:space="0" w:color="000000"/>
            </w:tcBorders>
            <w:hideMark/>
          </w:tcPr>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Критичний аналіз діяльності підприємства з огляду на можливі не-</w:t>
            </w:r>
          </w:p>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справності або вихід із ладу </w:t>
            </w:r>
          </w:p>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устаткування  </w:t>
            </w:r>
          </w:p>
        </w:tc>
        <w:tc>
          <w:tcPr>
            <w:tcW w:w="2410" w:type="dxa"/>
            <w:tcBorders>
              <w:top w:val="single" w:sz="4" w:space="0" w:color="000000"/>
              <w:left w:val="single" w:sz="4" w:space="0" w:color="000000"/>
              <w:bottom w:val="single" w:sz="4" w:space="0" w:color="000000"/>
              <w:right w:val="single" w:sz="4" w:space="0" w:color="000000"/>
            </w:tcBorders>
            <w:hideMark/>
          </w:tcPr>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Детальне виявлення можливих ризиків. Докладно аналізуються  окремі частини або підсистеми складної системи </w:t>
            </w:r>
          </w:p>
        </w:tc>
        <w:tc>
          <w:tcPr>
            <w:tcW w:w="2409" w:type="dxa"/>
            <w:tcBorders>
              <w:top w:val="single" w:sz="4" w:space="0" w:color="000000"/>
              <w:left w:val="single" w:sz="4" w:space="0" w:color="000000"/>
              <w:bottom w:val="single" w:sz="4" w:space="0" w:color="000000"/>
              <w:right w:val="single" w:sz="4" w:space="0" w:color="000000"/>
            </w:tcBorders>
            <w:hideMark/>
          </w:tcPr>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При декомплектації системи можливе її деяке спро-</w:t>
            </w:r>
          </w:p>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щення  </w:t>
            </w:r>
          </w:p>
        </w:tc>
      </w:tr>
      <w:tr w:rsidR="000B476F" w:rsidRPr="00DD73A8" w:rsidTr="005D129A">
        <w:trPr>
          <w:trHeight w:val="1794"/>
        </w:trPr>
        <w:tc>
          <w:tcPr>
            <w:tcW w:w="1832" w:type="dxa"/>
            <w:tcBorders>
              <w:top w:val="single" w:sz="4" w:space="0" w:color="000000"/>
              <w:left w:val="single" w:sz="4" w:space="0" w:color="000000"/>
              <w:bottom w:val="single" w:sz="4" w:space="0" w:color="000000"/>
              <w:right w:val="single" w:sz="4" w:space="0" w:color="000000"/>
            </w:tcBorders>
            <w:hideMark/>
          </w:tcPr>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Побудова «дерева відмов» </w:t>
            </w:r>
          </w:p>
        </w:tc>
        <w:tc>
          <w:tcPr>
            <w:tcW w:w="2977" w:type="dxa"/>
            <w:tcBorders>
              <w:top w:val="single" w:sz="4" w:space="0" w:color="000000"/>
              <w:left w:val="single" w:sz="4" w:space="0" w:color="000000"/>
              <w:bottom w:val="single" w:sz="4" w:space="0" w:color="000000"/>
              <w:right w:val="single" w:sz="4" w:space="0" w:color="000000"/>
            </w:tcBorders>
            <w:hideMark/>
          </w:tcPr>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Визначення напрямів, завдяки яким окремі події можуть у </w:t>
            </w:r>
          </w:p>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результаті їхнього комбінованого впливу призвести до потенційно небезпечних ситуацій </w:t>
            </w:r>
          </w:p>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(головної події) </w:t>
            </w:r>
          </w:p>
        </w:tc>
        <w:tc>
          <w:tcPr>
            <w:tcW w:w="2410" w:type="dxa"/>
            <w:tcBorders>
              <w:top w:val="single" w:sz="4" w:space="0" w:color="000000"/>
              <w:left w:val="single" w:sz="4" w:space="0" w:color="000000"/>
              <w:bottom w:val="single" w:sz="4" w:space="0" w:color="000000"/>
              <w:right w:val="single" w:sz="4" w:space="0" w:color="000000"/>
            </w:tcBorders>
            <w:hideMark/>
          </w:tcPr>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Можливість описати складні процеси або системи, відобразити </w:t>
            </w:r>
            <w:r w:rsidRPr="00E22FF2">
              <w:rPr>
                <w:rFonts w:ascii="Times New Roman" w:eastAsia="Times New Roman" w:hAnsi="Times New Roman" w:cs="Times New Roman"/>
                <w:color w:val="000000"/>
                <w:lang w:eastAsia="uk-UA"/>
              </w:rPr>
              <w:tab/>
              <w:t>і проаналізуват</w:t>
            </w:r>
          </w:p>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и </w:t>
            </w:r>
            <w:r w:rsidRPr="00E22FF2">
              <w:rPr>
                <w:rFonts w:ascii="Times New Roman" w:eastAsia="Times New Roman" w:hAnsi="Times New Roman" w:cs="Times New Roman"/>
                <w:color w:val="000000"/>
                <w:lang w:eastAsia="uk-UA"/>
              </w:rPr>
              <w:tab/>
              <w:t xml:space="preserve">структуру </w:t>
            </w:r>
          </w:p>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системи з урахуванням усіх проміжних ланок </w:t>
            </w:r>
          </w:p>
        </w:tc>
        <w:tc>
          <w:tcPr>
            <w:tcW w:w="2409" w:type="dxa"/>
            <w:tcBorders>
              <w:top w:val="single" w:sz="4" w:space="0" w:color="000000"/>
              <w:left w:val="single" w:sz="4" w:space="0" w:color="000000"/>
              <w:bottom w:val="single" w:sz="4" w:space="0" w:color="000000"/>
              <w:right w:val="single" w:sz="4" w:space="0" w:color="000000"/>
            </w:tcBorders>
            <w:hideMark/>
          </w:tcPr>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Великі витрати часу як на </w:t>
            </w:r>
          </w:p>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складання діаграми «дерева відмов», так і на детальне вивчення проблеми  </w:t>
            </w:r>
          </w:p>
        </w:tc>
      </w:tr>
    </w:tbl>
    <w:p w:rsidR="000B476F" w:rsidRPr="00DD73A8" w:rsidRDefault="000B476F" w:rsidP="000B476F">
      <w:pPr>
        <w:spacing w:after="14" w:line="240" w:lineRule="auto"/>
        <w:ind w:right="57"/>
        <w:jc w:val="both"/>
        <w:rPr>
          <w:rFonts w:ascii="Times New Roman" w:eastAsia="Times New Roman" w:hAnsi="Times New Roman" w:cs="Times New Roman"/>
          <w:color w:val="000000"/>
          <w:sz w:val="24"/>
          <w:szCs w:val="24"/>
          <w:lang w:eastAsia="uk-UA"/>
        </w:rPr>
      </w:pPr>
      <w:r w:rsidRPr="00DD73A8">
        <w:rPr>
          <w:rFonts w:ascii="Times New Roman" w:eastAsia="Times New Roman" w:hAnsi="Times New Roman" w:cs="Times New Roman"/>
          <w:color w:val="000000"/>
          <w:sz w:val="24"/>
          <w:szCs w:val="24"/>
          <w:lang w:eastAsia="uk-UA"/>
        </w:rPr>
        <w:t xml:space="preserve"> </w:t>
      </w:r>
    </w:p>
    <w:p w:rsidR="000B476F" w:rsidRPr="00DD73A8" w:rsidRDefault="000B476F" w:rsidP="000B476F">
      <w:pPr>
        <w:spacing w:after="14" w:line="240" w:lineRule="auto"/>
        <w:ind w:right="57"/>
        <w:jc w:val="right"/>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lastRenderedPageBreak/>
        <w:t xml:space="preserve">Продовження табл. </w:t>
      </w:r>
      <w:r w:rsidRPr="00DD73A8">
        <w:rPr>
          <w:rFonts w:ascii="Times New Roman" w:eastAsia="Times New Roman" w:hAnsi="Times New Roman" w:cs="Times New Roman"/>
          <w:color w:val="000000"/>
          <w:sz w:val="28"/>
          <w:szCs w:val="28"/>
          <w:lang w:val="uk-UA" w:eastAsia="uk-UA"/>
        </w:rPr>
        <w:t>2</w:t>
      </w:r>
      <w:r w:rsidRPr="00DD73A8">
        <w:rPr>
          <w:rFonts w:ascii="Times New Roman" w:eastAsia="Times New Roman" w:hAnsi="Times New Roman" w:cs="Times New Roman"/>
          <w:color w:val="000000"/>
          <w:sz w:val="28"/>
          <w:szCs w:val="28"/>
          <w:lang w:eastAsia="uk-UA"/>
        </w:rPr>
        <w:t xml:space="preserve">.1 </w:t>
      </w:r>
    </w:p>
    <w:tbl>
      <w:tblPr>
        <w:tblW w:w="9628" w:type="dxa"/>
        <w:tblInd w:w="6" w:type="dxa"/>
        <w:tblCellMar>
          <w:top w:w="8" w:type="dxa"/>
          <w:left w:w="107" w:type="dxa"/>
          <w:right w:w="32" w:type="dxa"/>
        </w:tblCellMar>
        <w:tblLook w:val="04A0" w:firstRow="1" w:lastRow="0" w:firstColumn="1" w:lastColumn="0" w:noHBand="0" w:noVBand="1"/>
      </w:tblPr>
      <w:tblGrid>
        <w:gridCol w:w="1899"/>
        <w:gridCol w:w="3179"/>
        <w:gridCol w:w="2261"/>
        <w:gridCol w:w="2289"/>
      </w:tblGrid>
      <w:tr w:rsidR="000B476F" w:rsidRPr="00E22FF2" w:rsidTr="005D129A">
        <w:trPr>
          <w:trHeight w:val="353"/>
        </w:trPr>
        <w:tc>
          <w:tcPr>
            <w:tcW w:w="1899" w:type="dxa"/>
            <w:tcBorders>
              <w:top w:val="single" w:sz="4" w:space="0" w:color="000000"/>
              <w:left w:val="single" w:sz="4" w:space="0" w:color="000000"/>
              <w:bottom w:val="single" w:sz="4" w:space="0" w:color="000000"/>
              <w:right w:val="single" w:sz="4" w:space="0" w:color="000000"/>
            </w:tcBorders>
            <w:shd w:val="clear" w:color="auto" w:fill="EEECE1"/>
            <w:hideMark/>
          </w:tcPr>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1 </w:t>
            </w:r>
          </w:p>
        </w:tc>
        <w:tc>
          <w:tcPr>
            <w:tcW w:w="3179" w:type="dxa"/>
            <w:tcBorders>
              <w:top w:val="single" w:sz="4" w:space="0" w:color="000000"/>
              <w:left w:val="single" w:sz="4" w:space="0" w:color="000000"/>
              <w:bottom w:val="single" w:sz="4" w:space="0" w:color="000000"/>
              <w:right w:val="single" w:sz="4" w:space="0" w:color="000000"/>
            </w:tcBorders>
            <w:shd w:val="clear" w:color="auto" w:fill="EEECE1"/>
            <w:hideMark/>
          </w:tcPr>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2 </w:t>
            </w:r>
          </w:p>
        </w:tc>
        <w:tc>
          <w:tcPr>
            <w:tcW w:w="2261" w:type="dxa"/>
            <w:tcBorders>
              <w:top w:val="single" w:sz="4" w:space="0" w:color="000000"/>
              <w:left w:val="single" w:sz="4" w:space="0" w:color="000000"/>
              <w:bottom w:val="single" w:sz="4" w:space="0" w:color="000000"/>
              <w:right w:val="single" w:sz="4" w:space="0" w:color="000000"/>
            </w:tcBorders>
            <w:shd w:val="clear" w:color="auto" w:fill="EEECE1"/>
            <w:hideMark/>
          </w:tcPr>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3 </w:t>
            </w:r>
          </w:p>
        </w:tc>
        <w:tc>
          <w:tcPr>
            <w:tcW w:w="2289" w:type="dxa"/>
            <w:tcBorders>
              <w:top w:val="single" w:sz="4" w:space="0" w:color="000000"/>
              <w:left w:val="single" w:sz="4" w:space="0" w:color="000000"/>
              <w:bottom w:val="single" w:sz="4" w:space="0" w:color="000000"/>
              <w:right w:val="single" w:sz="4" w:space="0" w:color="000000"/>
            </w:tcBorders>
            <w:shd w:val="clear" w:color="auto" w:fill="EEECE1"/>
            <w:hideMark/>
          </w:tcPr>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4 </w:t>
            </w:r>
          </w:p>
        </w:tc>
      </w:tr>
      <w:tr w:rsidR="000B476F" w:rsidRPr="00E22FF2" w:rsidTr="005D129A">
        <w:trPr>
          <w:trHeight w:val="2421"/>
        </w:trPr>
        <w:tc>
          <w:tcPr>
            <w:tcW w:w="1899" w:type="dxa"/>
            <w:tcBorders>
              <w:top w:val="single" w:sz="4" w:space="0" w:color="000000"/>
              <w:left w:val="single" w:sz="4" w:space="0" w:color="000000"/>
              <w:bottom w:val="single" w:sz="4" w:space="0" w:color="000000"/>
              <w:right w:val="single" w:sz="4" w:space="0" w:color="000000"/>
            </w:tcBorders>
            <w:hideMark/>
          </w:tcPr>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Аналіз доцільності витрат </w:t>
            </w:r>
          </w:p>
        </w:tc>
        <w:tc>
          <w:tcPr>
            <w:tcW w:w="3179" w:type="dxa"/>
            <w:tcBorders>
              <w:top w:val="single" w:sz="4" w:space="0" w:color="000000"/>
              <w:left w:val="single" w:sz="4" w:space="0" w:color="000000"/>
              <w:bottom w:val="single" w:sz="4" w:space="0" w:color="000000"/>
              <w:right w:val="single" w:sz="4" w:space="0" w:color="000000"/>
            </w:tcBorders>
            <w:hideMark/>
          </w:tcPr>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Метод </w:t>
            </w:r>
            <w:r w:rsidRPr="00E22FF2">
              <w:rPr>
                <w:rFonts w:ascii="Times New Roman" w:eastAsia="Times New Roman" w:hAnsi="Times New Roman" w:cs="Times New Roman"/>
                <w:color w:val="000000"/>
                <w:lang w:eastAsia="uk-UA"/>
              </w:rPr>
              <w:tab/>
              <w:t>ґрунту-</w:t>
            </w:r>
          </w:p>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ється на тому, що витрати на кожний конкретний напрямок не мають однакового ступеня ризику. Стан за кожним напрямом витрат поділяється на зони загальних втрат, де конкретні втрати не досягають рівня ступеня ризику </w:t>
            </w:r>
          </w:p>
        </w:tc>
        <w:tc>
          <w:tcPr>
            <w:tcW w:w="2261" w:type="dxa"/>
            <w:tcBorders>
              <w:top w:val="single" w:sz="4" w:space="0" w:color="000000"/>
              <w:left w:val="single" w:sz="4" w:space="0" w:color="000000"/>
              <w:bottom w:val="single" w:sz="4" w:space="0" w:color="000000"/>
              <w:right w:val="single" w:sz="4" w:space="0" w:color="000000"/>
            </w:tcBorders>
            <w:hideMark/>
          </w:tcPr>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Можливість пошуку шляхів зниження ризику через статтю витрат із максимальним ризиком </w:t>
            </w:r>
          </w:p>
        </w:tc>
        <w:tc>
          <w:tcPr>
            <w:tcW w:w="2289" w:type="dxa"/>
            <w:tcBorders>
              <w:top w:val="single" w:sz="4" w:space="0" w:color="000000"/>
              <w:left w:val="single" w:sz="4" w:space="0" w:color="000000"/>
              <w:bottom w:val="single" w:sz="4" w:space="0" w:color="000000"/>
              <w:right w:val="single" w:sz="4" w:space="0" w:color="000000"/>
            </w:tcBorders>
            <w:hideMark/>
          </w:tcPr>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Не </w:t>
            </w:r>
            <w:r w:rsidRPr="00E22FF2">
              <w:rPr>
                <w:rFonts w:ascii="Times New Roman" w:eastAsia="Times New Roman" w:hAnsi="Times New Roman" w:cs="Times New Roman"/>
                <w:color w:val="000000"/>
                <w:lang w:eastAsia="uk-UA"/>
              </w:rPr>
              <w:tab/>
              <w:t>аналізу-</w:t>
            </w:r>
          </w:p>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ються джерела походження ризику </w:t>
            </w:r>
            <w:r w:rsidRPr="00E22FF2">
              <w:rPr>
                <w:rFonts w:ascii="Times New Roman" w:eastAsia="Times New Roman" w:hAnsi="Times New Roman" w:cs="Times New Roman"/>
                <w:color w:val="000000"/>
                <w:lang w:eastAsia="uk-UA"/>
              </w:rPr>
              <w:tab/>
              <w:t xml:space="preserve">(ризик береться </w:t>
            </w:r>
            <w:r w:rsidRPr="00E22FF2">
              <w:rPr>
                <w:rFonts w:ascii="Times New Roman" w:eastAsia="Times New Roman" w:hAnsi="Times New Roman" w:cs="Times New Roman"/>
                <w:color w:val="000000"/>
                <w:lang w:eastAsia="uk-UA"/>
              </w:rPr>
              <w:tab/>
              <w:t xml:space="preserve">як </w:t>
            </w:r>
          </w:p>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цілісна величина), тобто ігноруються мультискладові ризику </w:t>
            </w:r>
          </w:p>
        </w:tc>
      </w:tr>
      <w:tr w:rsidR="000B476F" w:rsidRPr="00E22FF2" w:rsidTr="005D129A">
        <w:trPr>
          <w:trHeight w:val="1953"/>
        </w:trPr>
        <w:tc>
          <w:tcPr>
            <w:tcW w:w="1899" w:type="dxa"/>
            <w:tcBorders>
              <w:top w:val="single" w:sz="4" w:space="0" w:color="000000"/>
              <w:left w:val="single" w:sz="4" w:space="0" w:color="000000"/>
              <w:bottom w:val="single" w:sz="4" w:space="0" w:color="000000"/>
              <w:right w:val="single" w:sz="4" w:space="0" w:color="000000"/>
            </w:tcBorders>
            <w:hideMark/>
          </w:tcPr>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Експертне оцінювання </w:t>
            </w:r>
          </w:p>
        </w:tc>
        <w:tc>
          <w:tcPr>
            <w:tcW w:w="3179" w:type="dxa"/>
            <w:tcBorders>
              <w:top w:val="single" w:sz="4" w:space="0" w:color="000000"/>
              <w:left w:val="single" w:sz="4" w:space="0" w:color="000000"/>
              <w:bottom w:val="single" w:sz="4" w:space="0" w:color="000000"/>
              <w:right w:val="single" w:sz="4" w:space="0" w:color="000000"/>
            </w:tcBorders>
            <w:hideMark/>
          </w:tcPr>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Виділяється група ризиків і розглядається як саме </w:t>
            </w:r>
            <w:r w:rsidRPr="00E22FF2">
              <w:rPr>
                <w:rFonts w:ascii="Times New Roman" w:eastAsia="Times New Roman" w:hAnsi="Times New Roman" w:cs="Times New Roman"/>
                <w:color w:val="000000"/>
                <w:lang w:eastAsia="uk-UA"/>
              </w:rPr>
              <w:tab/>
              <w:t xml:space="preserve">вони </w:t>
            </w:r>
          </w:p>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можуть вплинути на діяльність підприємства. </w:t>
            </w:r>
          </w:p>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Бальні оцінювання визна-</w:t>
            </w:r>
          </w:p>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чають штатні та запрошені фахівці </w:t>
            </w:r>
          </w:p>
        </w:tc>
        <w:tc>
          <w:tcPr>
            <w:tcW w:w="2261" w:type="dxa"/>
            <w:tcBorders>
              <w:top w:val="single" w:sz="4" w:space="0" w:color="000000"/>
              <w:left w:val="single" w:sz="4" w:space="0" w:color="000000"/>
              <w:bottom w:val="single" w:sz="4" w:space="0" w:color="000000"/>
              <w:right w:val="single" w:sz="4" w:space="0" w:color="000000"/>
            </w:tcBorders>
            <w:hideMark/>
          </w:tcPr>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Дає змогу оцінити ти види ризику, ймовірність </w:t>
            </w:r>
          </w:p>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генерації яких іншими методами оцінити неможливо </w:t>
            </w:r>
          </w:p>
        </w:tc>
        <w:tc>
          <w:tcPr>
            <w:tcW w:w="2289" w:type="dxa"/>
            <w:tcBorders>
              <w:top w:val="single" w:sz="4" w:space="0" w:color="000000"/>
              <w:left w:val="single" w:sz="4" w:space="0" w:color="000000"/>
              <w:bottom w:val="single" w:sz="4" w:space="0" w:color="000000"/>
              <w:right w:val="single" w:sz="4" w:space="0" w:color="000000"/>
            </w:tcBorders>
            <w:hideMark/>
          </w:tcPr>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Суб’єктивний характер отриманих </w:t>
            </w:r>
          </w:p>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результатів </w:t>
            </w:r>
          </w:p>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 </w:t>
            </w:r>
          </w:p>
        </w:tc>
      </w:tr>
      <w:tr w:rsidR="000B476F" w:rsidRPr="00E22FF2" w:rsidTr="005D129A">
        <w:trPr>
          <w:trHeight w:val="2109"/>
        </w:trPr>
        <w:tc>
          <w:tcPr>
            <w:tcW w:w="1899" w:type="dxa"/>
            <w:tcBorders>
              <w:top w:val="single" w:sz="4" w:space="0" w:color="000000"/>
              <w:left w:val="single" w:sz="4" w:space="0" w:color="000000"/>
              <w:bottom w:val="single" w:sz="4" w:space="0" w:color="000000"/>
              <w:right w:val="single" w:sz="4" w:space="0" w:color="000000"/>
            </w:tcBorders>
            <w:hideMark/>
          </w:tcPr>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Використання аналогів </w:t>
            </w:r>
          </w:p>
        </w:tc>
        <w:tc>
          <w:tcPr>
            <w:tcW w:w="3179" w:type="dxa"/>
            <w:tcBorders>
              <w:top w:val="single" w:sz="4" w:space="0" w:color="000000"/>
              <w:left w:val="single" w:sz="4" w:space="0" w:color="000000"/>
              <w:bottom w:val="single" w:sz="4" w:space="0" w:color="000000"/>
              <w:right w:val="single" w:sz="4" w:space="0" w:color="000000"/>
            </w:tcBorders>
            <w:hideMark/>
          </w:tcPr>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При оцінюванні ступеня ризику певного напряму діяльності використовуютьс я дані стосовно </w:t>
            </w:r>
          </w:p>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розвитку </w:t>
            </w:r>
          </w:p>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аналогічних </w:t>
            </w:r>
          </w:p>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напрямів </w:t>
            </w:r>
            <w:r w:rsidRPr="00E22FF2">
              <w:rPr>
                <w:rFonts w:ascii="Times New Roman" w:eastAsia="Times New Roman" w:hAnsi="Times New Roman" w:cs="Times New Roman"/>
                <w:color w:val="000000"/>
                <w:lang w:eastAsia="uk-UA"/>
              </w:rPr>
              <w:tab/>
              <w:t xml:space="preserve">у </w:t>
            </w:r>
          </w:p>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минулому </w:t>
            </w:r>
          </w:p>
        </w:tc>
        <w:tc>
          <w:tcPr>
            <w:tcW w:w="2261" w:type="dxa"/>
            <w:tcBorders>
              <w:top w:val="single" w:sz="4" w:space="0" w:color="000000"/>
              <w:left w:val="single" w:sz="4" w:space="0" w:color="000000"/>
              <w:bottom w:val="single" w:sz="4" w:space="0" w:color="000000"/>
              <w:right w:val="single" w:sz="4" w:space="0" w:color="000000"/>
            </w:tcBorders>
            <w:hideMark/>
          </w:tcPr>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За відсутності чіткої бази </w:t>
            </w:r>
          </w:p>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порівняння, яке не відповідає сучасним вимогам, можна скористатися попереднім досвідом роботи </w:t>
            </w:r>
          </w:p>
        </w:tc>
        <w:tc>
          <w:tcPr>
            <w:tcW w:w="2289" w:type="dxa"/>
            <w:tcBorders>
              <w:top w:val="single" w:sz="4" w:space="0" w:color="000000"/>
              <w:left w:val="single" w:sz="4" w:space="0" w:color="000000"/>
              <w:bottom w:val="single" w:sz="4" w:space="0" w:color="000000"/>
              <w:right w:val="single" w:sz="4" w:space="0" w:color="000000"/>
            </w:tcBorders>
            <w:hideMark/>
          </w:tcPr>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Ігнорування фактора постійного розвитку будь-</w:t>
            </w:r>
          </w:p>
          <w:p w:rsidR="000B476F" w:rsidRPr="00E22FF2" w:rsidRDefault="000B476F" w:rsidP="005D129A">
            <w:pPr>
              <w:spacing w:after="14" w:line="240" w:lineRule="auto"/>
              <w:ind w:right="57"/>
              <w:jc w:val="both"/>
              <w:rPr>
                <w:rFonts w:ascii="Times New Roman" w:eastAsia="Times New Roman" w:hAnsi="Times New Roman" w:cs="Times New Roman"/>
                <w:color w:val="000000"/>
                <w:lang w:eastAsia="uk-UA"/>
              </w:rPr>
            </w:pPr>
            <w:r w:rsidRPr="00E22FF2">
              <w:rPr>
                <w:rFonts w:ascii="Times New Roman" w:eastAsia="Times New Roman" w:hAnsi="Times New Roman" w:cs="Times New Roman"/>
                <w:color w:val="000000"/>
                <w:lang w:eastAsia="uk-UA"/>
              </w:rPr>
              <w:t xml:space="preserve">якої діяльності </w:t>
            </w:r>
          </w:p>
        </w:tc>
      </w:tr>
    </w:tbl>
    <w:p w:rsidR="000B476F" w:rsidRPr="00DD73A8" w:rsidRDefault="000B476F" w:rsidP="000B476F">
      <w:pPr>
        <w:spacing w:after="14" w:line="266" w:lineRule="auto"/>
        <w:ind w:left="-15" w:right="57" w:firstLine="56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ab/>
        <w:t xml:space="preserve">Таким чином, процес управління ризиками включає широкий спектр дій, які можуть бути представлені як послідовність таких етапів: </w:t>
      </w:r>
    </w:p>
    <w:p w:rsidR="000B476F" w:rsidRPr="00DD73A8" w:rsidRDefault="000B476F" w:rsidP="000B476F">
      <w:pPr>
        <w:numPr>
          <w:ilvl w:val="0"/>
          <w:numId w:val="6"/>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усвідомлення й виявлення ризику, визначення причин його виникнення і ризикових сфер; </w:t>
      </w:r>
    </w:p>
    <w:p w:rsidR="000B476F" w:rsidRPr="00DD73A8" w:rsidRDefault="000B476F" w:rsidP="000B476F">
      <w:pPr>
        <w:numPr>
          <w:ilvl w:val="0"/>
          <w:numId w:val="6"/>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аналіз та оцінювання ризику – кількісне визначення витрат, пов’язаних із видами ризику, які були виявлені на першому етапі; </w:t>
      </w:r>
    </w:p>
    <w:p w:rsidR="000B476F" w:rsidRPr="00DD73A8" w:rsidRDefault="000B476F" w:rsidP="000B476F">
      <w:pPr>
        <w:numPr>
          <w:ilvl w:val="0"/>
          <w:numId w:val="6"/>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вибір методів (прийомів) управління ризиком і їх застосування, мінімізація витрат на здійснення вибраних методів; </w:t>
      </w:r>
    </w:p>
    <w:p w:rsidR="000B476F" w:rsidRPr="00DD73A8" w:rsidRDefault="000B476F" w:rsidP="000B476F">
      <w:pPr>
        <w:numPr>
          <w:ilvl w:val="0"/>
          <w:numId w:val="6"/>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оцінювання результатів, що включає</w:t>
      </w:r>
      <w:r>
        <w:rPr>
          <w:rFonts w:ascii="Times New Roman" w:eastAsia="Times New Roman" w:hAnsi="Times New Roman" w:cs="Times New Roman"/>
          <w:color w:val="000000"/>
          <w:sz w:val="28"/>
          <w:szCs w:val="28"/>
          <w:lang w:eastAsia="uk-UA"/>
        </w:rPr>
        <w:t xml:space="preserve"> здійснення постійного контролю</w:t>
      </w:r>
      <w:r w:rsidRPr="00DD73A8">
        <w:rPr>
          <w:rFonts w:ascii="Times New Roman" w:eastAsia="Times New Roman" w:hAnsi="Times New Roman" w:cs="Times New Roman"/>
          <w:color w:val="000000"/>
          <w:sz w:val="28"/>
          <w:szCs w:val="28"/>
          <w:lang w:eastAsia="uk-UA"/>
        </w:rPr>
        <w:t xml:space="preserve"> рівня ризиків із застосуванням механізму зворотного зв’язку. </w:t>
      </w:r>
    </w:p>
    <w:p w:rsidR="000B476F" w:rsidRPr="00DD73A8" w:rsidRDefault="000B476F" w:rsidP="000B476F">
      <w:p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 </w:t>
      </w:r>
    </w:p>
    <w:p w:rsidR="000B476F" w:rsidRPr="00DD73A8" w:rsidRDefault="000B476F" w:rsidP="000B476F">
      <w:pPr>
        <w:spacing w:before="120" w:after="120" w:line="240" w:lineRule="auto"/>
        <w:ind w:firstLine="567"/>
        <w:jc w:val="center"/>
        <w:rPr>
          <w:rFonts w:ascii="Times New Roman" w:eastAsia="Times New Roman" w:hAnsi="Times New Roman" w:cs="Times New Roman"/>
          <w:b/>
          <w:sz w:val="28"/>
          <w:szCs w:val="28"/>
          <w:lang w:val="uk-UA" w:eastAsia="uk-UA"/>
        </w:rPr>
      </w:pPr>
      <w:r w:rsidRPr="00DD73A8">
        <w:rPr>
          <w:rFonts w:ascii="Times New Roman" w:eastAsia="Times New Roman" w:hAnsi="Times New Roman" w:cs="Times New Roman"/>
          <w:b/>
          <w:sz w:val="28"/>
          <w:szCs w:val="28"/>
          <w:lang w:val="uk-UA" w:eastAsia="uk-UA"/>
        </w:rPr>
        <w:t>Питання для самоперевірки знань</w:t>
      </w:r>
    </w:p>
    <w:p w:rsidR="000B476F" w:rsidRPr="00DD73A8" w:rsidRDefault="000B476F" w:rsidP="000B476F">
      <w:pPr>
        <w:spacing w:after="0" w:line="240" w:lineRule="auto"/>
        <w:ind w:firstLine="567"/>
        <w:rPr>
          <w:rFonts w:ascii="Times New Roman" w:eastAsia="Times New Roman" w:hAnsi="Times New Roman" w:cs="Times New Roman"/>
          <w:bCs/>
          <w:sz w:val="28"/>
          <w:szCs w:val="24"/>
          <w:lang w:val="uk-UA" w:eastAsia="uk-UA"/>
        </w:rPr>
      </w:pPr>
      <w:r w:rsidRPr="00DD73A8">
        <w:rPr>
          <w:rFonts w:ascii="Times New Roman" w:eastAsia="Times New Roman" w:hAnsi="Times New Roman" w:cs="Times New Roman"/>
          <w:bCs/>
          <w:sz w:val="28"/>
          <w:szCs w:val="24"/>
          <w:lang w:val="uk-UA" w:eastAsia="uk-UA"/>
        </w:rPr>
        <w:t xml:space="preserve">1. Наведіть загальні підходи до кількісного оцінювання ризику в спектрі економічних проблем. </w:t>
      </w:r>
    </w:p>
    <w:p w:rsidR="000B476F" w:rsidRPr="00DD73A8" w:rsidRDefault="000B476F" w:rsidP="000B476F">
      <w:pPr>
        <w:spacing w:after="0" w:line="240" w:lineRule="auto"/>
        <w:ind w:firstLine="567"/>
        <w:rPr>
          <w:rFonts w:ascii="Times New Roman" w:eastAsia="Times New Roman" w:hAnsi="Times New Roman" w:cs="Times New Roman"/>
          <w:bCs/>
          <w:sz w:val="28"/>
          <w:szCs w:val="24"/>
          <w:lang w:val="uk-UA" w:eastAsia="uk-UA"/>
        </w:rPr>
      </w:pPr>
      <w:r w:rsidRPr="00DD73A8">
        <w:rPr>
          <w:rFonts w:ascii="Times New Roman" w:eastAsia="Times New Roman" w:hAnsi="Times New Roman" w:cs="Times New Roman"/>
          <w:bCs/>
          <w:sz w:val="28"/>
          <w:szCs w:val="24"/>
          <w:lang w:val="uk-UA" w:eastAsia="uk-UA"/>
        </w:rPr>
        <w:t xml:space="preserve">2. Які критерії вибору ризику? </w:t>
      </w:r>
    </w:p>
    <w:p w:rsidR="000B476F" w:rsidRPr="00DD73A8" w:rsidRDefault="000B476F" w:rsidP="000B476F">
      <w:pPr>
        <w:spacing w:after="0" w:line="240" w:lineRule="auto"/>
        <w:ind w:firstLine="567"/>
        <w:rPr>
          <w:rFonts w:ascii="Times New Roman" w:eastAsia="Times New Roman" w:hAnsi="Times New Roman" w:cs="Times New Roman"/>
          <w:bCs/>
          <w:sz w:val="28"/>
          <w:szCs w:val="24"/>
          <w:lang w:val="uk-UA" w:eastAsia="uk-UA"/>
        </w:rPr>
      </w:pPr>
      <w:r w:rsidRPr="00DD73A8">
        <w:rPr>
          <w:rFonts w:ascii="Times New Roman" w:eastAsia="Times New Roman" w:hAnsi="Times New Roman" w:cs="Times New Roman"/>
          <w:bCs/>
          <w:sz w:val="28"/>
          <w:szCs w:val="24"/>
          <w:lang w:val="uk-UA" w:eastAsia="uk-UA"/>
        </w:rPr>
        <w:t xml:space="preserve">3. У чому полягає суть поняття кількісного аналізу ризику у фінансовому менеджменті? Наведіть приклади. </w:t>
      </w:r>
    </w:p>
    <w:p w:rsidR="000B476F" w:rsidRPr="00DD73A8" w:rsidRDefault="000B476F" w:rsidP="000B476F">
      <w:pPr>
        <w:spacing w:after="0" w:line="240" w:lineRule="auto"/>
        <w:ind w:firstLine="567"/>
        <w:rPr>
          <w:rFonts w:ascii="Times New Roman" w:eastAsia="Times New Roman" w:hAnsi="Times New Roman" w:cs="Times New Roman"/>
          <w:bCs/>
          <w:sz w:val="28"/>
          <w:szCs w:val="24"/>
          <w:lang w:val="uk-UA" w:eastAsia="uk-UA"/>
        </w:rPr>
      </w:pPr>
      <w:r w:rsidRPr="00DD73A8">
        <w:rPr>
          <w:rFonts w:ascii="Times New Roman" w:eastAsia="Times New Roman" w:hAnsi="Times New Roman" w:cs="Times New Roman"/>
          <w:bCs/>
          <w:sz w:val="28"/>
          <w:szCs w:val="24"/>
          <w:lang w:val="uk-UA" w:eastAsia="uk-UA"/>
        </w:rPr>
        <w:lastRenderedPageBreak/>
        <w:t xml:space="preserve">4. У чому полягає суть кількісного аналізу ризику за допомогою методів імітаційного моделювання? Сформулюйте умови, за яких можливе використання цих методів. </w:t>
      </w:r>
    </w:p>
    <w:p w:rsidR="000B476F" w:rsidRPr="00DD73A8" w:rsidRDefault="000B476F" w:rsidP="000B476F">
      <w:pPr>
        <w:spacing w:after="0" w:line="240" w:lineRule="auto"/>
        <w:ind w:firstLine="567"/>
        <w:rPr>
          <w:rFonts w:ascii="Times New Roman" w:eastAsia="Times New Roman" w:hAnsi="Times New Roman" w:cs="Times New Roman"/>
          <w:bCs/>
          <w:sz w:val="28"/>
          <w:szCs w:val="24"/>
          <w:lang w:val="uk-UA" w:eastAsia="uk-UA"/>
        </w:rPr>
      </w:pPr>
      <w:r w:rsidRPr="00DD73A8">
        <w:rPr>
          <w:rFonts w:ascii="Times New Roman" w:eastAsia="Times New Roman" w:hAnsi="Times New Roman" w:cs="Times New Roman"/>
          <w:bCs/>
          <w:sz w:val="28"/>
          <w:szCs w:val="24"/>
          <w:lang w:val="uk-UA" w:eastAsia="uk-UA"/>
        </w:rPr>
        <w:t xml:space="preserve">5. На які зони розбивають діапазон значень можливих збитків? Сформулюйте умови, за яких можливе використання цих методів. </w:t>
      </w:r>
    </w:p>
    <w:p w:rsidR="000B476F" w:rsidRPr="00DD73A8" w:rsidRDefault="000B476F" w:rsidP="000B476F">
      <w:pPr>
        <w:spacing w:after="0" w:line="240" w:lineRule="auto"/>
        <w:ind w:firstLine="567"/>
        <w:rPr>
          <w:rFonts w:ascii="Times New Roman" w:eastAsia="Times New Roman" w:hAnsi="Times New Roman" w:cs="Times New Roman"/>
          <w:bCs/>
          <w:sz w:val="28"/>
          <w:szCs w:val="24"/>
          <w:lang w:val="uk-UA" w:eastAsia="uk-UA"/>
        </w:rPr>
      </w:pPr>
      <w:r w:rsidRPr="00DD73A8">
        <w:rPr>
          <w:rFonts w:ascii="Times New Roman" w:eastAsia="Times New Roman" w:hAnsi="Times New Roman" w:cs="Times New Roman"/>
          <w:bCs/>
          <w:sz w:val="28"/>
          <w:szCs w:val="24"/>
          <w:lang w:val="uk-UA" w:eastAsia="uk-UA"/>
        </w:rPr>
        <w:t xml:space="preserve">6. Основні засади кількісного аналізу ризику методом аналогій. </w:t>
      </w:r>
    </w:p>
    <w:p w:rsidR="000B476F" w:rsidRPr="00DD73A8" w:rsidRDefault="000B476F" w:rsidP="000B476F">
      <w:pPr>
        <w:spacing w:after="0" w:line="240" w:lineRule="auto"/>
        <w:ind w:firstLine="567"/>
        <w:rPr>
          <w:rFonts w:ascii="Times New Roman" w:eastAsia="Times New Roman" w:hAnsi="Times New Roman" w:cs="Times New Roman"/>
          <w:bCs/>
          <w:sz w:val="28"/>
          <w:szCs w:val="24"/>
          <w:lang w:val="uk-UA" w:eastAsia="uk-UA"/>
        </w:rPr>
      </w:pPr>
      <w:r w:rsidRPr="00DD73A8">
        <w:rPr>
          <w:rFonts w:ascii="Times New Roman" w:eastAsia="Times New Roman" w:hAnsi="Times New Roman" w:cs="Times New Roman"/>
          <w:bCs/>
          <w:sz w:val="28"/>
          <w:szCs w:val="24"/>
          <w:lang w:val="uk-UA" w:eastAsia="uk-UA"/>
        </w:rPr>
        <w:t>7. Сутність і основні кроки проведення аналізу ризику методом аналізу чутливості. Наведіть відповідний приклад.</w:t>
      </w:r>
    </w:p>
    <w:p w:rsidR="00D661F8" w:rsidRDefault="00D661F8">
      <w:bookmarkStart w:id="0" w:name="_GoBack"/>
      <w:bookmarkEnd w:id="0"/>
    </w:p>
    <w:sectPr w:rsidR="00D661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A13D2"/>
    <w:multiLevelType w:val="hybridMultilevel"/>
    <w:tmpl w:val="15108B66"/>
    <w:lvl w:ilvl="0" w:tplc="12C458F4">
      <w:start w:val="1"/>
      <w:numFmt w:val="bullet"/>
      <w:lvlText w:val="•"/>
      <w:lvlJc w:val="left"/>
      <w:pPr>
        <w:ind w:left="0"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1" w:tplc="815E6CA8">
      <w:start w:val="1"/>
      <w:numFmt w:val="bullet"/>
      <w:lvlText w:val="o"/>
      <w:lvlJc w:val="left"/>
      <w:pPr>
        <w:ind w:left="1826"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2" w:tplc="ECD8AEB4">
      <w:start w:val="1"/>
      <w:numFmt w:val="bullet"/>
      <w:lvlText w:val="▪"/>
      <w:lvlJc w:val="left"/>
      <w:pPr>
        <w:ind w:left="2546"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3" w:tplc="AA228778">
      <w:start w:val="1"/>
      <w:numFmt w:val="bullet"/>
      <w:lvlText w:val="•"/>
      <w:lvlJc w:val="left"/>
      <w:pPr>
        <w:ind w:left="3266"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4" w:tplc="7D2EF4EC">
      <w:start w:val="1"/>
      <w:numFmt w:val="bullet"/>
      <w:lvlText w:val="o"/>
      <w:lvlJc w:val="left"/>
      <w:pPr>
        <w:ind w:left="3986"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5" w:tplc="CDA834EA">
      <w:start w:val="1"/>
      <w:numFmt w:val="bullet"/>
      <w:lvlText w:val="▪"/>
      <w:lvlJc w:val="left"/>
      <w:pPr>
        <w:ind w:left="4706"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6" w:tplc="8774E282">
      <w:start w:val="1"/>
      <w:numFmt w:val="bullet"/>
      <w:lvlText w:val="•"/>
      <w:lvlJc w:val="left"/>
      <w:pPr>
        <w:ind w:left="5426"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7" w:tplc="1BE0DEA4">
      <w:start w:val="1"/>
      <w:numFmt w:val="bullet"/>
      <w:lvlText w:val="o"/>
      <w:lvlJc w:val="left"/>
      <w:pPr>
        <w:ind w:left="6146"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8" w:tplc="FDCE691A">
      <w:start w:val="1"/>
      <w:numFmt w:val="bullet"/>
      <w:lvlText w:val="▪"/>
      <w:lvlJc w:val="left"/>
      <w:pPr>
        <w:ind w:left="6866"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abstractNum>
  <w:abstractNum w:abstractNumId="1" w15:restartNumberingAfterBreak="0">
    <w:nsid w:val="13EF7D9E"/>
    <w:multiLevelType w:val="hybridMultilevel"/>
    <w:tmpl w:val="C0EE0C7C"/>
    <w:lvl w:ilvl="0" w:tplc="12C458F4">
      <w:start w:val="1"/>
      <w:numFmt w:val="bullet"/>
      <w:lvlText w:val="•"/>
      <w:lvlJc w:val="left"/>
      <w:pPr>
        <w:ind w:left="1428" w:hanging="36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2" w15:restartNumberingAfterBreak="0">
    <w:nsid w:val="488A1728"/>
    <w:multiLevelType w:val="hybridMultilevel"/>
    <w:tmpl w:val="652A75C2"/>
    <w:lvl w:ilvl="0" w:tplc="45287906">
      <w:start w:val="3"/>
      <w:numFmt w:val="decimal"/>
      <w:lvlText w:val="%1)"/>
      <w:lvlJc w:val="left"/>
      <w:pPr>
        <w:ind w:left="706" w:hanging="360"/>
      </w:pPr>
    </w:lvl>
    <w:lvl w:ilvl="1" w:tplc="04190019">
      <w:start w:val="1"/>
      <w:numFmt w:val="lowerLetter"/>
      <w:lvlText w:val="%2."/>
      <w:lvlJc w:val="left"/>
      <w:pPr>
        <w:ind w:left="1426" w:hanging="360"/>
      </w:pPr>
    </w:lvl>
    <w:lvl w:ilvl="2" w:tplc="0419001B">
      <w:start w:val="1"/>
      <w:numFmt w:val="lowerRoman"/>
      <w:lvlText w:val="%3."/>
      <w:lvlJc w:val="right"/>
      <w:pPr>
        <w:ind w:left="2146" w:hanging="180"/>
      </w:pPr>
    </w:lvl>
    <w:lvl w:ilvl="3" w:tplc="0419000F">
      <w:start w:val="1"/>
      <w:numFmt w:val="decimal"/>
      <w:lvlText w:val="%4."/>
      <w:lvlJc w:val="left"/>
      <w:pPr>
        <w:ind w:left="2866" w:hanging="360"/>
      </w:pPr>
    </w:lvl>
    <w:lvl w:ilvl="4" w:tplc="04190019">
      <w:start w:val="1"/>
      <w:numFmt w:val="lowerLetter"/>
      <w:lvlText w:val="%5."/>
      <w:lvlJc w:val="left"/>
      <w:pPr>
        <w:ind w:left="3586" w:hanging="360"/>
      </w:pPr>
    </w:lvl>
    <w:lvl w:ilvl="5" w:tplc="0419001B">
      <w:start w:val="1"/>
      <w:numFmt w:val="lowerRoman"/>
      <w:lvlText w:val="%6."/>
      <w:lvlJc w:val="right"/>
      <w:pPr>
        <w:ind w:left="4306" w:hanging="180"/>
      </w:pPr>
    </w:lvl>
    <w:lvl w:ilvl="6" w:tplc="0419000F">
      <w:start w:val="1"/>
      <w:numFmt w:val="decimal"/>
      <w:lvlText w:val="%7."/>
      <w:lvlJc w:val="left"/>
      <w:pPr>
        <w:ind w:left="5026" w:hanging="360"/>
      </w:pPr>
    </w:lvl>
    <w:lvl w:ilvl="7" w:tplc="04190019">
      <w:start w:val="1"/>
      <w:numFmt w:val="lowerLetter"/>
      <w:lvlText w:val="%8."/>
      <w:lvlJc w:val="left"/>
      <w:pPr>
        <w:ind w:left="5746" w:hanging="360"/>
      </w:pPr>
    </w:lvl>
    <w:lvl w:ilvl="8" w:tplc="0419001B">
      <w:start w:val="1"/>
      <w:numFmt w:val="lowerRoman"/>
      <w:lvlText w:val="%9."/>
      <w:lvlJc w:val="right"/>
      <w:pPr>
        <w:ind w:left="6466" w:hanging="180"/>
      </w:pPr>
    </w:lvl>
  </w:abstractNum>
  <w:abstractNum w:abstractNumId="3" w15:restartNumberingAfterBreak="0">
    <w:nsid w:val="51574284"/>
    <w:multiLevelType w:val="hybridMultilevel"/>
    <w:tmpl w:val="F9DAD6F4"/>
    <w:lvl w:ilvl="0" w:tplc="12C458F4">
      <w:start w:val="1"/>
      <w:numFmt w:val="bullet"/>
      <w:lvlText w:val="•"/>
      <w:lvlJc w:val="left"/>
      <w:pPr>
        <w:ind w:left="1272" w:hanging="36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1" w:tplc="04190003">
      <w:start w:val="1"/>
      <w:numFmt w:val="bullet"/>
      <w:lvlText w:val="o"/>
      <w:lvlJc w:val="left"/>
      <w:pPr>
        <w:ind w:left="1992" w:hanging="360"/>
      </w:pPr>
      <w:rPr>
        <w:rFonts w:ascii="Courier New" w:hAnsi="Courier New" w:cs="Courier New" w:hint="default"/>
      </w:rPr>
    </w:lvl>
    <w:lvl w:ilvl="2" w:tplc="04190005">
      <w:start w:val="1"/>
      <w:numFmt w:val="bullet"/>
      <w:lvlText w:val=""/>
      <w:lvlJc w:val="left"/>
      <w:pPr>
        <w:ind w:left="2712" w:hanging="360"/>
      </w:pPr>
      <w:rPr>
        <w:rFonts w:ascii="Wingdings" w:hAnsi="Wingdings" w:hint="default"/>
      </w:rPr>
    </w:lvl>
    <w:lvl w:ilvl="3" w:tplc="04190001">
      <w:start w:val="1"/>
      <w:numFmt w:val="bullet"/>
      <w:lvlText w:val=""/>
      <w:lvlJc w:val="left"/>
      <w:pPr>
        <w:ind w:left="3432" w:hanging="360"/>
      </w:pPr>
      <w:rPr>
        <w:rFonts w:ascii="Symbol" w:hAnsi="Symbol" w:hint="default"/>
      </w:rPr>
    </w:lvl>
    <w:lvl w:ilvl="4" w:tplc="04190003">
      <w:start w:val="1"/>
      <w:numFmt w:val="bullet"/>
      <w:lvlText w:val="o"/>
      <w:lvlJc w:val="left"/>
      <w:pPr>
        <w:ind w:left="4152" w:hanging="360"/>
      </w:pPr>
      <w:rPr>
        <w:rFonts w:ascii="Courier New" w:hAnsi="Courier New" w:cs="Courier New" w:hint="default"/>
      </w:rPr>
    </w:lvl>
    <w:lvl w:ilvl="5" w:tplc="04190005">
      <w:start w:val="1"/>
      <w:numFmt w:val="bullet"/>
      <w:lvlText w:val=""/>
      <w:lvlJc w:val="left"/>
      <w:pPr>
        <w:ind w:left="4872" w:hanging="360"/>
      </w:pPr>
      <w:rPr>
        <w:rFonts w:ascii="Wingdings" w:hAnsi="Wingdings" w:hint="default"/>
      </w:rPr>
    </w:lvl>
    <w:lvl w:ilvl="6" w:tplc="04190001">
      <w:start w:val="1"/>
      <w:numFmt w:val="bullet"/>
      <w:lvlText w:val=""/>
      <w:lvlJc w:val="left"/>
      <w:pPr>
        <w:ind w:left="5592" w:hanging="360"/>
      </w:pPr>
      <w:rPr>
        <w:rFonts w:ascii="Symbol" w:hAnsi="Symbol" w:hint="default"/>
      </w:rPr>
    </w:lvl>
    <w:lvl w:ilvl="7" w:tplc="04190003">
      <w:start w:val="1"/>
      <w:numFmt w:val="bullet"/>
      <w:lvlText w:val="o"/>
      <w:lvlJc w:val="left"/>
      <w:pPr>
        <w:ind w:left="6312" w:hanging="360"/>
      </w:pPr>
      <w:rPr>
        <w:rFonts w:ascii="Courier New" w:hAnsi="Courier New" w:cs="Courier New" w:hint="default"/>
      </w:rPr>
    </w:lvl>
    <w:lvl w:ilvl="8" w:tplc="04190005">
      <w:start w:val="1"/>
      <w:numFmt w:val="bullet"/>
      <w:lvlText w:val=""/>
      <w:lvlJc w:val="left"/>
      <w:pPr>
        <w:ind w:left="7032" w:hanging="360"/>
      </w:pPr>
      <w:rPr>
        <w:rFonts w:ascii="Wingdings" w:hAnsi="Wingdings" w:hint="default"/>
      </w:rPr>
    </w:lvl>
  </w:abstractNum>
  <w:abstractNum w:abstractNumId="4" w15:restartNumberingAfterBreak="0">
    <w:nsid w:val="53D2556B"/>
    <w:multiLevelType w:val="hybridMultilevel"/>
    <w:tmpl w:val="56EE80B2"/>
    <w:lvl w:ilvl="0" w:tplc="12C458F4">
      <w:start w:val="1"/>
      <w:numFmt w:val="bullet"/>
      <w:lvlText w:val="•"/>
      <w:lvlJc w:val="left"/>
      <w:pPr>
        <w:ind w:left="1272" w:hanging="36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1" w:tplc="04190003">
      <w:start w:val="1"/>
      <w:numFmt w:val="bullet"/>
      <w:lvlText w:val="o"/>
      <w:lvlJc w:val="left"/>
      <w:pPr>
        <w:ind w:left="1992" w:hanging="360"/>
      </w:pPr>
      <w:rPr>
        <w:rFonts w:ascii="Courier New" w:hAnsi="Courier New" w:cs="Courier New" w:hint="default"/>
      </w:rPr>
    </w:lvl>
    <w:lvl w:ilvl="2" w:tplc="04190005">
      <w:start w:val="1"/>
      <w:numFmt w:val="bullet"/>
      <w:lvlText w:val=""/>
      <w:lvlJc w:val="left"/>
      <w:pPr>
        <w:ind w:left="2712" w:hanging="360"/>
      </w:pPr>
      <w:rPr>
        <w:rFonts w:ascii="Wingdings" w:hAnsi="Wingdings" w:hint="default"/>
      </w:rPr>
    </w:lvl>
    <w:lvl w:ilvl="3" w:tplc="04190001">
      <w:start w:val="1"/>
      <w:numFmt w:val="bullet"/>
      <w:lvlText w:val=""/>
      <w:lvlJc w:val="left"/>
      <w:pPr>
        <w:ind w:left="3432" w:hanging="360"/>
      </w:pPr>
      <w:rPr>
        <w:rFonts w:ascii="Symbol" w:hAnsi="Symbol" w:hint="default"/>
      </w:rPr>
    </w:lvl>
    <w:lvl w:ilvl="4" w:tplc="04190003">
      <w:start w:val="1"/>
      <w:numFmt w:val="bullet"/>
      <w:lvlText w:val="o"/>
      <w:lvlJc w:val="left"/>
      <w:pPr>
        <w:ind w:left="4152" w:hanging="360"/>
      </w:pPr>
      <w:rPr>
        <w:rFonts w:ascii="Courier New" w:hAnsi="Courier New" w:cs="Courier New" w:hint="default"/>
      </w:rPr>
    </w:lvl>
    <w:lvl w:ilvl="5" w:tplc="04190005">
      <w:start w:val="1"/>
      <w:numFmt w:val="bullet"/>
      <w:lvlText w:val=""/>
      <w:lvlJc w:val="left"/>
      <w:pPr>
        <w:ind w:left="4872" w:hanging="360"/>
      </w:pPr>
      <w:rPr>
        <w:rFonts w:ascii="Wingdings" w:hAnsi="Wingdings" w:hint="default"/>
      </w:rPr>
    </w:lvl>
    <w:lvl w:ilvl="6" w:tplc="04190001">
      <w:start w:val="1"/>
      <w:numFmt w:val="bullet"/>
      <w:lvlText w:val=""/>
      <w:lvlJc w:val="left"/>
      <w:pPr>
        <w:ind w:left="5592" w:hanging="360"/>
      </w:pPr>
      <w:rPr>
        <w:rFonts w:ascii="Symbol" w:hAnsi="Symbol" w:hint="default"/>
      </w:rPr>
    </w:lvl>
    <w:lvl w:ilvl="7" w:tplc="04190003">
      <w:start w:val="1"/>
      <w:numFmt w:val="bullet"/>
      <w:lvlText w:val="o"/>
      <w:lvlJc w:val="left"/>
      <w:pPr>
        <w:ind w:left="6312" w:hanging="360"/>
      </w:pPr>
      <w:rPr>
        <w:rFonts w:ascii="Courier New" w:hAnsi="Courier New" w:cs="Courier New" w:hint="default"/>
      </w:rPr>
    </w:lvl>
    <w:lvl w:ilvl="8" w:tplc="04190005">
      <w:start w:val="1"/>
      <w:numFmt w:val="bullet"/>
      <w:lvlText w:val=""/>
      <w:lvlJc w:val="left"/>
      <w:pPr>
        <w:ind w:left="7032" w:hanging="360"/>
      </w:pPr>
      <w:rPr>
        <w:rFonts w:ascii="Wingdings" w:hAnsi="Wingdings" w:hint="default"/>
      </w:rPr>
    </w:lvl>
  </w:abstractNum>
  <w:abstractNum w:abstractNumId="5" w15:restartNumberingAfterBreak="0">
    <w:nsid w:val="571806C5"/>
    <w:multiLevelType w:val="hybridMultilevel"/>
    <w:tmpl w:val="C1460E8A"/>
    <w:lvl w:ilvl="0" w:tplc="12C458F4">
      <w:start w:val="1"/>
      <w:numFmt w:val="bullet"/>
      <w:lvlText w:val="•"/>
      <w:lvlJc w:val="left"/>
      <w:pPr>
        <w:ind w:left="1428" w:hanging="36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76F"/>
    <w:rsid w:val="000B476F"/>
    <w:rsid w:val="00D661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BD36AF-9DF7-402F-BBFA-DB618C961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47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2920</Words>
  <Characters>16645</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2025-09-04T09:08:00Z</dcterms:created>
  <dcterms:modified xsi:type="dcterms:W3CDTF">2025-09-04T09:09:00Z</dcterms:modified>
</cp:coreProperties>
</file>