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606" w:rsidRDefault="00F65606" w:rsidP="00F65606">
      <w:pPr>
        <w:ind w:left="142" w:firstLine="38"/>
        <w:jc w:val="center"/>
        <w:rPr>
          <w:b/>
          <w:sz w:val="24"/>
          <w:lang w:val="uk-UA"/>
        </w:rPr>
      </w:pPr>
      <w:r w:rsidRPr="00422507">
        <w:rPr>
          <w:b/>
          <w:sz w:val="24"/>
          <w:lang w:val="uk-UA"/>
        </w:rPr>
        <w:t>ІНДИВІДУАЛЬНІ ЗАВДАННЯ</w:t>
      </w:r>
    </w:p>
    <w:p w:rsidR="00F65606" w:rsidRPr="00F65606" w:rsidRDefault="00F65606" w:rsidP="00F65606">
      <w:pPr>
        <w:ind w:left="142" w:firstLine="38"/>
        <w:jc w:val="center"/>
        <w:rPr>
          <w:b/>
          <w:sz w:val="20"/>
          <w:lang w:val="uk-UA"/>
        </w:rPr>
      </w:pPr>
      <w:r w:rsidRPr="00F65606">
        <w:rPr>
          <w:b/>
          <w:sz w:val="20"/>
          <w:lang w:val="uk-UA"/>
        </w:rPr>
        <w:t>З КУРСУ «МЕТО</w:t>
      </w:r>
      <w:bookmarkStart w:id="0" w:name="_GoBack"/>
      <w:bookmarkEnd w:id="0"/>
      <w:r w:rsidRPr="00F65606">
        <w:rPr>
          <w:b/>
          <w:sz w:val="20"/>
          <w:lang w:val="uk-UA"/>
        </w:rPr>
        <w:t>ДИ І МОДЕЛІ ПРИЙНЯТТЯ РІШЕНЬ В МЕНЕДЖМЕНТІ ПЕРСОНАЛУ»</w:t>
      </w:r>
    </w:p>
    <w:p w:rsidR="00F65606" w:rsidRPr="00422507" w:rsidRDefault="00F65606" w:rsidP="00F65606">
      <w:pPr>
        <w:ind w:left="142" w:firstLine="38"/>
        <w:jc w:val="center"/>
        <w:rPr>
          <w:b/>
          <w:sz w:val="24"/>
          <w:lang w:val="uk-UA"/>
        </w:rPr>
      </w:pPr>
    </w:p>
    <w:p w:rsidR="00F94412" w:rsidRPr="00F94412" w:rsidRDefault="00F65606" w:rsidP="00F94412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94412">
        <w:rPr>
          <w:spacing w:val="-2"/>
          <w:szCs w:val="28"/>
          <w:lang w:val="uk-UA"/>
        </w:rPr>
        <w:t xml:space="preserve">Виконання </w:t>
      </w:r>
      <w:r w:rsidRPr="00F94412">
        <w:rPr>
          <w:bCs/>
          <w:iCs/>
          <w:spacing w:val="-2"/>
          <w:szCs w:val="28"/>
          <w:lang w:val="uk-UA"/>
        </w:rPr>
        <w:t>індивідуального завдання</w:t>
      </w:r>
      <w:r w:rsidRPr="00F94412">
        <w:rPr>
          <w:spacing w:val="-2"/>
          <w:szCs w:val="28"/>
          <w:lang w:val="uk-UA"/>
        </w:rPr>
        <w:t xml:space="preserve"> студентом з дисципліни на </w:t>
      </w:r>
      <w:r w:rsidR="00D1150A" w:rsidRPr="00F94412">
        <w:rPr>
          <w:spacing w:val="-2"/>
          <w:szCs w:val="28"/>
          <w:lang w:val="uk-UA"/>
        </w:rPr>
        <w:t xml:space="preserve">закріплення </w:t>
      </w:r>
      <w:r w:rsidRPr="00F94412">
        <w:rPr>
          <w:spacing w:val="-2"/>
          <w:szCs w:val="28"/>
          <w:lang w:val="uk-UA"/>
        </w:rPr>
        <w:t>тем</w:t>
      </w:r>
      <w:r w:rsidR="00D1150A" w:rsidRPr="00F94412">
        <w:rPr>
          <w:spacing w:val="-2"/>
          <w:szCs w:val="28"/>
          <w:lang w:val="uk-UA"/>
        </w:rPr>
        <w:t>и «Конфліктна зміна ситуації»</w:t>
      </w:r>
      <w:r w:rsidR="00F94412" w:rsidRPr="00F94412">
        <w:rPr>
          <w:spacing w:val="-2"/>
          <w:szCs w:val="28"/>
          <w:lang w:val="uk-UA"/>
        </w:rPr>
        <w:t xml:space="preserve"> (див. підручник до курсу </w:t>
      </w:r>
      <w:r w:rsidR="00F94412" w:rsidRPr="00F94412">
        <w:rPr>
          <w:bCs/>
          <w:iCs/>
          <w:szCs w:val="28"/>
        </w:rPr>
        <w:t xml:space="preserve">Моргунова Е.Б. </w:t>
      </w:r>
      <w:proofErr w:type="spellStart"/>
      <w:r w:rsidR="00F94412" w:rsidRPr="00F94412">
        <w:rPr>
          <w:bCs/>
          <w:szCs w:val="28"/>
        </w:rPr>
        <w:t>Модел</w:t>
      </w:r>
      <w:proofErr w:type="spellEnd"/>
      <w:r w:rsidR="00F94412">
        <w:rPr>
          <w:bCs/>
          <w:szCs w:val="28"/>
          <w:lang w:val="uk-UA"/>
        </w:rPr>
        <w:t>і</w:t>
      </w:r>
      <w:r w:rsidR="00F94412" w:rsidRPr="00F94412">
        <w:rPr>
          <w:bCs/>
          <w:szCs w:val="28"/>
        </w:rPr>
        <w:t xml:space="preserve"> и метод</w:t>
      </w:r>
      <w:r w:rsidR="00F94412">
        <w:rPr>
          <w:bCs/>
          <w:szCs w:val="28"/>
          <w:lang w:val="uk-UA"/>
        </w:rPr>
        <w:t>и</w:t>
      </w:r>
      <w:r w:rsidR="00F94412" w:rsidRPr="00F94412">
        <w:rPr>
          <w:bCs/>
          <w:szCs w:val="28"/>
        </w:rPr>
        <w:t xml:space="preserve"> </w:t>
      </w:r>
      <w:proofErr w:type="spellStart"/>
      <w:r w:rsidR="00F94412" w:rsidRPr="00F94412">
        <w:rPr>
          <w:bCs/>
          <w:szCs w:val="28"/>
        </w:rPr>
        <w:t>управл</w:t>
      </w:r>
      <w:r w:rsidR="00F94412">
        <w:rPr>
          <w:bCs/>
          <w:szCs w:val="28"/>
          <w:lang w:val="uk-UA"/>
        </w:rPr>
        <w:t>іння</w:t>
      </w:r>
      <w:proofErr w:type="spellEnd"/>
      <w:r w:rsidR="00F94412" w:rsidRPr="00F94412">
        <w:rPr>
          <w:bCs/>
          <w:szCs w:val="28"/>
        </w:rPr>
        <w:t xml:space="preserve"> </w:t>
      </w:r>
      <w:proofErr w:type="spellStart"/>
      <w:r w:rsidR="00F94412" w:rsidRPr="00F94412">
        <w:rPr>
          <w:bCs/>
          <w:szCs w:val="28"/>
        </w:rPr>
        <w:t>персо</w:t>
      </w:r>
      <w:proofErr w:type="spellEnd"/>
      <w:r w:rsidR="00F94412" w:rsidRPr="00F94412">
        <w:rPr>
          <w:bCs/>
          <w:szCs w:val="28"/>
          <w:lang w:val="uk-UA"/>
        </w:rPr>
        <w:t>н</w:t>
      </w:r>
      <w:r w:rsidR="00F94412" w:rsidRPr="00F94412">
        <w:rPr>
          <w:bCs/>
          <w:szCs w:val="28"/>
        </w:rPr>
        <w:t>алом</w:t>
      </w:r>
      <w:r w:rsidR="00F94412" w:rsidRPr="00F94412">
        <w:rPr>
          <w:bCs/>
          <w:szCs w:val="28"/>
          <w:lang w:val="uk-UA"/>
        </w:rPr>
        <w:t>)</w:t>
      </w:r>
    </w:p>
    <w:p w:rsidR="00F65606" w:rsidRPr="00F94412" w:rsidRDefault="00F65606" w:rsidP="00F65606">
      <w:pPr>
        <w:ind w:firstLine="709"/>
        <w:jc w:val="both"/>
        <w:rPr>
          <w:sz w:val="24"/>
        </w:rPr>
      </w:pPr>
    </w:p>
    <w:p w:rsidR="00F65606" w:rsidRPr="00422507" w:rsidRDefault="00F65606" w:rsidP="00F65606">
      <w:pPr>
        <w:ind w:firstLine="709"/>
        <w:jc w:val="center"/>
        <w:rPr>
          <w:b/>
          <w:sz w:val="24"/>
          <w:lang w:val="uk-UA"/>
        </w:rPr>
      </w:pPr>
    </w:p>
    <w:p w:rsidR="00F65606" w:rsidRPr="00D1150A" w:rsidRDefault="00F65606" w:rsidP="00F65606">
      <w:pPr>
        <w:ind w:firstLine="709"/>
        <w:jc w:val="center"/>
        <w:rPr>
          <w:b/>
          <w:sz w:val="24"/>
          <w:lang w:val="uk-UA"/>
        </w:rPr>
      </w:pPr>
      <w:proofErr w:type="spellStart"/>
      <w:r w:rsidRPr="00422507">
        <w:rPr>
          <w:b/>
          <w:sz w:val="24"/>
        </w:rPr>
        <w:t>Перелік</w:t>
      </w:r>
      <w:proofErr w:type="spellEnd"/>
      <w:r w:rsidRPr="00422507">
        <w:rPr>
          <w:b/>
          <w:sz w:val="24"/>
        </w:rPr>
        <w:t xml:space="preserve"> тем </w:t>
      </w:r>
      <w:proofErr w:type="spellStart"/>
      <w:r w:rsidRPr="00422507">
        <w:rPr>
          <w:b/>
          <w:sz w:val="24"/>
        </w:rPr>
        <w:t>індиві</w:t>
      </w:r>
      <w:proofErr w:type="gramStart"/>
      <w:r w:rsidRPr="00422507">
        <w:rPr>
          <w:b/>
          <w:sz w:val="24"/>
        </w:rPr>
        <w:t>дуального</w:t>
      </w:r>
      <w:proofErr w:type="spellEnd"/>
      <w:proofErr w:type="gramEnd"/>
      <w:r w:rsidR="00D1150A">
        <w:rPr>
          <w:b/>
          <w:sz w:val="24"/>
          <w:lang w:val="uk-UA"/>
        </w:rPr>
        <w:t xml:space="preserve"> </w:t>
      </w:r>
      <w:proofErr w:type="spellStart"/>
      <w:r w:rsidRPr="00422507">
        <w:rPr>
          <w:b/>
          <w:sz w:val="24"/>
        </w:rPr>
        <w:t>завдання</w:t>
      </w:r>
      <w:proofErr w:type="spellEnd"/>
      <w:r w:rsidR="00D1150A">
        <w:rPr>
          <w:b/>
          <w:sz w:val="24"/>
          <w:lang w:val="uk-UA"/>
        </w:rPr>
        <w:t xml:space="preserve"> «Конфліктна зміна ситуації»</w:t>
      </w:r>
    </w:p>
    <w:p w:rsidR="00F65606" w:rsidRPr="00422507" w:rsidRDefault="00F65606" w:rsidP="00F65606">
      <w:pPr>
        <w:tabs>
          <w:tab w:val="left" w:pos="993"/>
        </w:tabs>
        <w:ind w:firstLine="709"/>
        <w:jc w:val="both"/>
        <w:rPr>
          <w:sz w:val="24"/>
          <w:lang w:val="uk-UA"/>
        </w:rPr>
      </w:pPr>
    </w:p>
    <w:p w:rsidR="00F65606" w:rsidRPr="00D1150A" w:rsidRDefault="00F65606" w:rsidP="00F65606">
      <w:pPr>
        <w:pStyle w:val="aa"/>
        <w:numPr>
          <w:ilvl w:val="0"/>
          <w:numId w:val="1"/>
        </w:numPr>
        <w:jc w:val="both"/>
        <w:rPr>
          <w:sz w:val="24"/>
          <w:lang w:val="uk-UA"/>
        </w:rPr>
      </w:pPr>
      <w:r w:rsidRPr="00D1150A">
        <w:rPr>
          <w:sz w:val="24"/>
          <w:lang w:val="uk-UA"/>
        </w:rPr>
        <w:t>Стереотипи в сприйнятті нововведення. Причини опору змінам</w:t>
      </w:r>
    </w:p>
    <w:p w:rsidR="00F65606" w:rsidRPr="00D1150A" w:rsidRDefault="00F65606" w:rsidP="00F65606">
      <w:pPr>
        <w:pStyle w:val="aa"/>
        <w:numPr>
          <w:ilvl w:val="0"/>
          <w:numId w:val="1"/>
        </w:numPr>
        <w:jc w:val="both"/>
        <w:rPr>
          <w:sz w:val="24"/>
          <w:lang w:val="uk-UA"/>
        </w:rPr>
      </w:pPr>
      <w:r w:rsidRPr="00D1150A">
        <w:rPr>
          <w:sz w:val="24"/>
          <w:lang w:val="uk-UA"/>
        </w:rPr>
        <w:t>Етапи введення змін</w:t>
      </w:r>
      <w:r w:rsidR="00D1150A" w:rsidRPr="00D1150A">
        <w:rPr>
          <w:sz w:val="24"/>
          <w:lang w:val="uk-UA"/>
        </w:rPr>
        <w:t xml:space="preserve">. </w:t>
      </w:r>
      <w:r w:rsidRPr="00D1150A">
        <w:rPr>
          <w:sz w:val="24"/>
          <w:lang w:val="uk-UA"/>
        </w:rPr>
        <w:t>Зміна і конфлікт</w:t>
      </w:r>
    </w:p>
    <w:p w:rsidR="00F65606" w:rsidRPr="00422507" w:rsidRDefault="00F65606" w:rsidP="00F65606">
      <w:pPr>
        <w:pStyle w:val="aa"/>
        <w:numPr>
          <w:ilvl w:val="0"/>
          <w:numId w:val="1"/>
        </w:numPr>
        <w:jc w:val="both"/>
        <w:rPr>
          <w:sz w:val="24"/>
          <w:lang w:val="uk-UA"/>
        </w:rPr>
      </w:pPr>
      <w:r w:rsidRPr="00422507">
        <w:rPr>
          <w:sz w:val="24"/>
          <w:lang w:val="uk-UA"/>
        </w:rPr>
        <w:t>Визначення конфлікту. Позитивні функції конфлікту. Класифікації конфліктів</w:t>
      </w:r>
    </w:p>
    <w:p w:rsidR="00F65606" w:rsidRPr="00D1150A" w:rsidRDefault="00F65606" w:rsidP="00F65606">
      <w:pPr>
        <w:pStyle w:val="aa"/>
        <w:numPr>
          <w:ilvl w:val="0"/>
          <w:numId w:val="1"/>
        </w:numPr>
        <w:jc w:val="both"/>
        <w:rPr>
          <w:sz w:val="24"/>
          <w:lang w:val="uk-UA"/>
        </w:rPr>
      </w:pPr>
      <w:r w:rsidRPr="00D1150A">
        <w:rPr>
          <w:sz w:val="24"/>
          <w:lang w:val="uk-UA"/>
        </w:rPr>
        <w:t>Причини конфліктів та їх компоненти</w:t>
      </w:r>
      <w:r w:rsidR="00D1150A" w:rsidRPr="00D1150A">
        <w:rPr>
          <w:sz w:val="24"/>
          <w:lang w:val="uk-UA"/>
        </w:rPr>
        <w:t xml:space="preserve">. </w:t>
      </w:r>
      <w:r w:rsidRPr="00D1150A">
        <w:rPr>
          <w:sz w:val="24"/>
          <w:lang w:val="uk-UA"/>
        </w:rPr>
        <w:t xml:space="preserve">Рівні </w:t>
      </w:r>
      <w:proofErr w:type="spellStart"/>
      <w:r w:rsidRPr="00D1150A">
        <w:rPr>
          <w:sz w:val="24"/>
          <w:lang w:val="uk-UA"/>
        </w:rPr>
        <w:t>опонування</w:t>
      </w:r>
      <w:proofErr w:type="spellEnd"/>
    </w:p>
    <w:p w:rsidR="00F65606" w:rsidRPr="00D1150A" w:rsidRDefault="00F65606" w:rsidP="00F65606">
      <w:pPr>
        <w:pStyle w:val="aa"/>
        <w:numPr>
          <w:ilvl w:val="0"/>
          <w:numId w:val="1"/>
        </w:numPr>
        <w:jc w:val="both"/>
        <w:rPr>
          <w:sz w:val="24"/>
          <w:lang w:val="uk-UA"/>
        </w:rPr>
      </w:pPr>
      <w:r w:rsidRPr="00D1150A">
        <w:rPr>
          <w:sz w:val="24"/>
          <w:lang w:val="uk-UA"/>
        </w:rPr>
        <w:t>Стадії конфлікту</w:t>
      </w:r>
      <w:r w:rsidR="00D1150A" w:rsidRPr="00D1150A">
        <w:rPr>
          <w:sz w:val="24"/>
          <w:lang w:val="uk-UA"/>
        </w:rPr>
        <w:t xml:space="preserve">. </w:t>
      </w:r>
      <w:r w:rsidRPr="00D1150A">
        <w:rPr>
          <w:sz w:val="24"/>
          <w:lang w:val="uk-UA"/>
        </w:rPr>
        <w:t>Емоційна сторона конфлікту</w:t>
      </w:r>
    </w:p>
    <w:p w:rsidR="00F65606" w:rsidRPr="00422507" w:rsidRDefault="00F65606" w:rsidP="00F65606">
      <w:pPr>
        <w:pStyle w:val="aa"/>
        <w:numPr>
          <w:ilvl w:val="0"/>
          <w:numId w:val="1"/>
        </w:numPr>
        <w:jc w:val="both"/>
        <w:rPr>
          <w:sz w:val="24"/>
          <w:lang w:val="uk-UA"/>
        </w:rPr>
      </w:pPr>
      <w:r w:rsidRPr="00422507">
        <w:rPr>
          <w:sz w:val="24"/>
          <w:lang w:val="uk-UA"/>
        </w:rPr>
        <w:t>Типові помилки при вирішенні конфліктів</w:t>
      </w:r>
      <w:r w:rsidR="00D1150A">
        <w:rPr>
          <w:sz w:val="24"/>
          <w:lang w:val="uk-UA"/>
        </w:rPr>
        <w:t xml:space="preserve">. </w:t>
      </w:r>
      <w:r w:rsidR="00D1150A" w:rsidRPr="00D1150A">
        <w:rPr>
          <w:sz w:val="24"/>
          <w:lang w:val="uk-UA"/>
        </w:rPr>
        <w:t xml:space="preserve">Стилі діяльності </w:t>
      </w:r>
      <w:proofErr w:type="spellStart"/>
      <w:r w:rsidR="00D1150A" w:rsidRPr="00D1150A">
        <w:rPr>
          <w:sz w:val="24"/>
          <w:lang w:val="uk-UA"/>
        </w:rPr>
        <w:t>конфліктологів</w:t>
      </w:r>
      <w:proofErr w:type="spellEnd"/>
      <w:r w:rsidR="00D1150A" w:rsidRPr="00D1150A">
        <w:rPr>
          <w:sz w:val="24"/>
          <w:lang w:val="uk-UA"/>
        </w:rPr>
        <w:t>.</w:t>
      </w:r>
    </w:p>
    <w:p w:rsidR="00F65606" w:rsidRDefault="00F65606" w:rsidP="00F65606">
      <w:pPr>
        <w:pStyle w:val="aa"/>
        <w:numPr>
          <w:ilvl w:val="0"/>
          <w:numId w:val="1"/>
        </w:numPr>
        <w:jc w:val="both"/>
        <w:rPr>
          <w:sz w:val="24"/>
          <w:lang w:val="uk-UA"/>
        </w:rPr>
      </w:pPr>
      <w:r w:rsidRPr="00D1150A">
        <w:rPr>
          <w:sz w:val="24"/>
          <w:lang w:val="uk-UA"/>
        </w:rPr>
        <w:t xml:space="preserve">Стилі діяльності </w:t>
      </w:r>
      <w:proofErr w:type="spellStart"/>
      <w:r w:rsidRPr="00D1150A">
        <w:rPr>
          <w:sz w:val="24"/>
          <w:lang w:val="uk-UA"/>
        </w:rPr>
        <w:t>конфліктологів</w:t>
      </w:r>
      <w:proofErr w:type="spellEnd"/>
      <w:r w:rsidR="00D1150A" w:rsidRPr="00D1150A">
        <w:rPr>
          <w:sz w:val="24"/>
          <w:lang w:val="uk-UA"/>
        </w:rPr>
        <w:t xml:space="preserve">. </w:t>
      </w:r>
      <w:r w:rsidRPr="00D1150A">
        <w:rPr>
          <w:sz w:val="24"/>
          <w:lang w:val="uk-UA"/>
        </w:rPr>
        <w:t>Планування змін</w:t>
      </w:r>
    </w:p>
    <w:p w:rsidR="00D1150A" w:rsidRPr="00D1150A" w:rsidRDefault="00D1150A" w:rsidP="00D1150A">
      <w:pPr>
        <w:pStyle w:val="aa"/>
        <w:numPr>
          <w:ilvl w:val="0"/>
          <w:numId w:val="1"/>
        </w:numPr>
        <w:jc w:val="both"/>
        <w:rPr>
          <w:sz w:val="24"/>
          <w:lang w:val="uk-UA"/>
        </w:rPr>
      </w:pPr>
      <w:r w:rsidRPr="00D1150A">
        <w:rPr>
          <w:sz w:val="24"/>
          <w:lang w:val="uk-UA"/>
        </w:rPr>
        <w:t>Стереотипи в сприйнятті нововведення. Причини опору змінам</w:t>
      </w:r>
    </w:p>
    <w:p w:rsidR="00D1150A" w:rsidRPr="00D1150A" w:rsidRDefault="00D1150A" w:rsidP="00D1150A">
      <w:pPr>
        <w:pStyle w:val="aa"/>
        <w:numPr>
          <w:ilvl w:val="0"/>
          <w:numId w:val="1"/>
        </w:numPr>
        <w:jc w:val="both"/>
        <w:rPr>
          <w:sz w:val="24"/>
          <w:lang w:val="uk-UA"/>
        </w:rPr>
      </w:pPr>
      <w:r w:rsidRPr="00D1150A">
        <w:rPr>
          <w:sz w:val="24"/>
          <w:lang w:val="uk-UA"/>
        </w:rPr>
        <w:t>Етапи введення змін. Зміна і конфлікт</w:t>
      </w:r>
    </w:p>
    <w:p w:rsidR="00D1150A" w:rsidRPr="00422507" w:rsidRDefault="00D1150A" w:rsidP="00D1150A">
      <w:pPr>
        <w:pStyle w:val="aa"/>
        <w:numPr>
          <w:ilvl w:val="0"/>
          <w:numId w:val="1"/>
        </w:numPr>
        <w:jc w:val="both"/>
        <w:rPr>
          <w:sz w:val="24"/>
          <w:lang w:val="uk-UA"/>
        </w:rPr>
      </w:pPr>
      <w:r w:rsidRPr="00422507">
        <w:rPr>
          <w:sz w:val="24"/>
          <w:lang w:val="uk-UA"/>
        </w:rPr>
        <w:t>Визначення конфлікту. Позитивні функції конфлікту. Класифікації конфліктів</w:t>
      </w:r>
    </w:p>
    <w:p w:rsidR="00D1150A" w:rsidRPr="00D1150A" w:rsidRDefault="00D1150A" w:rsidP="00D1150A">
      <w:pPr>
        <w:pStyle w:val="aa"/>
        <w:numPr>
          <w:ilvl w:val="0"/>
          <w:numId w:val="1"/>
        </w:numPr>
        <w:jc w:val="both"/>
        <w:rPr>
          <w:sz w:val="24"/>
          <w:lang w:val="uk-UA"/>
        </w:rPr>
      </w:pPr>
      <w:r w:rsidRPr="00D1150A">
        <w:rPr>
          <w:sz w:val="24"/>
          <w:lang w:val="uk-UA"/>
        </w:rPr>
        <w:t xml:space="preserve">Причини конфліктів та їх компоненти. Рівні </w:t>
      </w:r>
      <w:proofErr w:type="spellStart"/>
      <w:r w:rsidRPr="00D1150A">
        <w:rPr>
          <w:sz w:val="24"/>
          <w:lang w:val="uk-UA"/>
        </w:rPr>
        <w:t>опонування</w:t>
      </w:r>
      <w:proofErr w:type="spellEnd"/>
    </w:p>
    <w:p w:rsidR="00D1150A" w:rsidRPr="00D1150A" w:rsidRDefault="00D1150A" w:rsidP="00D1150A">
      <w:pPr>
        <w:pStyle w:val="aa"/>
        <w:numPr>
          <w:ilvl w:val="0"/>
          <w:numId w:val="1"/>
        </w:numPr>
        <w:jc w:val="both"/>
        <w:rPr>
          <w:sz w:val="24"/>
          <w:lang w:val="uk-UA"/>
        </w:rPr>
      </w:pPr>
      <w:r w:rsidRPr="00D1150A">
        <w:rPr>
          <w:sz w:val="24"/>
          <w:lang w:val="uk-UA"/>
        </w:rPr>
        <w:t>Стадії конфлікту. Емоційна сторона конфлікту</w:t>
      </w:r>
    </w:p>
    <w:p w:rsidR="00D1150A" w:rsidRPr="00422507" w:rsidRDefault="00D1150A" w:rsidP="00D1150A">
      <w:pPr>
        <w:pStyle w:val="aa"/>
        <w:numPr>
          <w:ilvl w:val="0"/>
          <w:numId w:val="1"/>
        </w:numPr>
        <w:jc w:val="both"/>
        <w:rPr>
          <w:sz w:val="24"/>
          <w:lang w:val="uk-UA"/>
        </w:rPr>
      </w:pPr>
      <w:r w:rsidRPr="00422507">
        <w:rPr>
          <w:sz w:val="24"/>
          <w:lang w:val="uk-UA"/>
        </w:rPr>
        <w:t>Типові помилки при вирішенні конфліктів</w:t>
      </w:r>
      <w:r>
        <w:rPr>
          <w:sz w:val="24"/>
          <w:lang w:val="uk-UA"/>
        </w:rPr>
        <w:t xml:space="preserve">. </w:t>
      </w:r>
      <w:r w:rsidRPr="00D1150A">
        <w:rPr>
          <w:sz w:val="24"/>
          <w:lang w:val="uk-UA"/>
        </w:rPr>
        <w:t xml:space="preserve">Стилі діяльності </w:t>
      </w:r>
      <w:proofErr w:type="spellStart"/>
      <w:r w:rsidRPr="00D1150A">
        <w:rPr>
          <w:sz w:val="24"/>
          <w:lang w:val="uk-UA"/>
        </w:rPr>
        <w:t>конфліктологів</w:t>
      </w:r>
      <w:proofErr w:type="spellEnd"/>
      <w:r w:rsidRPr="00D1150A">
        <w:rPr>
          <w:sz w:val="24"/>
          <w:lang w:val="uk-UA"/>
        </w:rPr>
        <w:t>.</w:t>
      </w:r>
    </w:p>
    <w:p w:rsidR="00D1150A" w:rsidRPr="00D1150A" w:rsidRDefault="00D1150A" w:rsidP="00D1150A">
      <w:pPr>
        <w:pStyle w:val="aa"/>
        <w:numPr>
          <w:ilvl w:val="0"/>
          <w:numId w:val="1"/>
        </w:numPr>
        <w:jc w:val="both"/>
        <w:rPr>
          <w:sz w:val="24"/>
          <w:lang w:val="uk-UA"/>
        </w:rPr>
      </w:pPr>
      <w:r w:rsidRPr="00D1150A">
        <w:rPr>
          <w:sz w:val="24"/>
          <w:lang w:val="uk-UA"/>
        </w:rPr>
        <w:t xml:space="preserve">Стилі діяльності </w:t>
      </w:r>
      <w:proofErr w:type="spellStart"/>
      <w:r w:rsidRPr="00D1150A">
        <w:rPr>
          <w:sz w:val="24"/>
          <w:lang w:val="uk-UA"/>
        </w:rPr>
        <w:t>конфліктологів</w:t>
      </w:r>
      <w:proofErr w:type="spellEnd"/>
      <w:r w:rsidRPr="00D1150A">
        <w:rPr>
          <w:sz w:val="24"/>
          <w:lang w:val="uk-UA"/>
        </w:rPr>
        <w:t>. Планування змін</w:t>
      </w:r>
    </w:p>
    <w:p w:rsidR="00F65606" w:rsidRPr="00422507" w:rsidRDefault="00F65606" w:rsidP="00F65606">
      <w:pPr>
        <w:tabs>
          <w:tab w:val="left" w:pos="993"/>
        </w:tabs>
        <w:ind w:firstLine="709"/>
        <w:jc w:val="both"/>
        <w:rPr>
          <w:sz w:val="24"/>
          <w:lang w:val="uk-UA"/>
        </w:rPr>
      </w:pPr>
    </w:p>
    <w:p w:rsidR="00F65606" w:rsidRPr="00422507" w:rsidRDefault="00F65606" w:rsidP="00F65606">
      <w:pPr>
        <w:shd w:val="clear" w:color="auto" w:fill="FFFFFF"/>
        <w:autoSpaceDE w:val="0"/>
        <w:autoSpaceDN w:val="0"/>
        <w:adjustRightInd w:val="0"/>
        <w:ind w:firstLine="902"/>
        <w:jc w:val="both"/>
        <w:rPr>
          <w:color w:val="000000"/>
          <w:sz w:val="24"/>
          <w:lang w:val="uk-UA"/>
        </w:rPr>
      </w:pPr>
      <w:r w:rsidRPr="00422507">
        <w:rPr>
          <w:color w:val="000000"/>
          <w:sz w:val="24"/>
          <w:lang w:val="uk-UA"/>
        </w:rPr>
        <w:t>До індивідуальної роботи висуваються такі загальні вимоги:</w:t>
      </w:r>
    </w:p>
    <w:p w:rsidR="00F65606" w:rsidRPr="00422507" w:rsidRDefault="00F65606" w:rsidP="00F65606">
      <w:pPr>
        <w:shd w:val="clear" w:color="auto" w:fill="FFFFFF"/>
        <w:autoSpaceDE w:val="0"/>
        <w:autoSpaceDN w:val="0"/>
        <w:adjustRightInd w:val="0"/>
        <w:ind w:firstLine="902"/>
        <w:jc w:val="both"/>
        <w:rPr>
          <w:color w:val="000000"/>
          <w:sz w:val="24"/>
          <w:lang w:val="uk-UA"/>
        </w:rPr>
      </w:pPr>
      <w:r w:rsidRPr="00422507">
        <w:rPr>
          <w:color w:val="000000"/>
          <w:sz w:val="24"/>
          <w:lang w:val="uk-UA"/>
        </w:rPr>
        <w:t xml:space="preserve">1. </w:t>
      </w:r>
      <w:r w:rsidRPr="00422507">
        <w:rPr>
          <w:sz w:val="24"/>
          <w:lang w:val="uk-UA"/>
        </w:rPr>
        <w:t>На титульному аркуші повинні бути вказані назва дисципліни та тема, з якої виконується робота, прізвище, ім’я та по батькові студента, курс, група, та прізвище, ім’я та по батькові викладача, рік виконання роботи.</w:t>
      </w:r>
    </w:p>
    <w:p w:rsidR="00F65606" w:rsidRPr="00422507" w:rsidRDefault="00F65606" w:rsidP="00F65606">
      <w:pPr>
        <w:shd w:val="clear" w:color="auto" w:fill="FFFFFF"/>
        <w:autoSpaceDE w:val="0"/>
        <w:autoSpaceDN w:val="0"/>
        <w:adjustRightInd w:val="0"/>
        <w:ind w:firstLine="902"/>
        <w:jc w:val="both"/>
        <w:rPr>
          <w:color w:val="000000"/>
          <w:sz w:val="24"/>
          <w:lang w:val="uk-UA"/>
        </w:rPr>
      </w:pPr>
      <w:r w:rsidRPr="00422507">
        <w:rPr>
          <w:color w:val="000000"/>
          <w:sz w:val="24"/>
          <w:lang w:val="uk-UA"/>
        </w:rPr>
        <w:t>2. Текст друкується 14 шрифтом через 1,5 інтервал.</w:t>
      </w:r>
    </w:p>
    <w:p w:rsidR="00F65606" w:rsidRPr="00422507" w:rsidRDefault="00F65606" w:rsidP="00F65606">
      <w:pPr>
        <w:shd w:val="clear" w:color="auto" w:fill="FFFFFF"/>
        <w:autoSpaceDE w:val="0"/>
        <w:autoSpaceDN w:val="0"/>
        <w:adjustRightInd w:val="0"/>
        <w:ind w:firstLine="902"/>
        <w:jc w:val="both"/>
        <w:rPr>
          <w:color w:val="000000"/>
          <w:sz w:val="24"/>
          <w:lang w:val="uk-UA"/>
        </w:rPr>
      </w:pPr>
      <w:r w:rsidRPr="00422507">
        <w:rPr>
          <w:color w:val="000000"/>
          <w:sz w:val="24"/>
          <w:lang w:val="uk-UA"/>
        </w:rPr>
        <w:t xml:space="preserve">3. Структура роботи має складатися з </w:t>
      </w:r>
      <w:r w:rsidR="00F94412">
        <w:rPr>
          <w:color w:val="000000"/>
          <w:sz w:val="24"/>
          <w:lang w:val="uk-UA"/>
        </w:rPr>
        <w:t xml:space="preserve">вступу, </w:t>
      </w:r>
      <w:r w:rsidRPr="00422507">
        <w:rPr>
          <w:color w:val="000000"/>
          <w:sz w:val="24"/>
          <w:lang w:val="uk-UA"/>
        </w:rPr>
        <w:t>основного змісту</w:t>
      </w:r>
      <w:r w:rsidR="00F94412">
        <w:rPr>
          <w:color w:val="000000"/>
          <w:sz w:val="24"/>
          <w:lang w:val="uk-UA"/>
        </w:rPr>
        <w:t>, висновків</w:t>
      </w:r>
      <w:r w:rsidRPr="00422507">
        <w:rPr>
          <w:color w:val="000000"/>
          <w:sz w:val="24"/>
          <w:lang w:val="uk-UA"/>
        </w:rPr>
        <w:t xml:space="preserve"> та списку літератури.</w:t>
      </w:r>
    </w:p>
    <w:p w:rsidR="00F65606" w:rsidRPr="00422507" w:rsidRDefault="00F65606" w:rsidP="00F65606">
      <w:pPr>
        <w:shd w:val="clear" w:color="auto" w:fill="FFFFFF"/>
        <w:autoSpaceDE w:val="0"/>
        <w:autoSpaceDN w:val="0"/>
        <w:adjustRightInd w:val="0"/>
        <w:ind w:firstLine="902"/>
        <w:jc w:val="both"/>
        <w:rPr>
          <w:sz w:val="24"/>
          <w:lang w:val="uk-UA"/>
        </w:rPr>
      </w:pPr>
      <w:r w:rsidRPr="00422507">
        <w:rPr>
          <w:color w:val="000000"/>
          <w:sz w:val="24"/>
          <w:lang w:val="uk-UA"/>
        </w:rPr>
        <w:t>4. У роботі має бути поставлена проблема, яка досліджується, та визначені задачі, які студент ставить на вирішення. Застосована методологія має бути поєднана зі змістом роботи з указівкою на ті частини роботи, де вона застосовувалася. Групування результатів, одержаних при дослідженні проблеми, має наводитися у висновках.</w:t>
      </w:r>
      <w:r w:rsidRPr="00422507">
        <w:rPr>
          <w:sz w:val="24"/>
          <w:lang w:val="uk-UA"/>
        </w:rPr>
        <w:t xml:space="preserve"> Відповіді на питання плану повинні бути повними, обґрунтованими, з аналізом проблеми. </w:t>
      </w:r>
    </w:p>
    <w:p w:rsidR="00F65606" w:rsidRPr="00422507" w:rsidRDefault="00F65606" w:rsidP="00F65606">
      <w:pPr>
        <w:shd w:val="clear" w:color="auto" w:fill="FFFFFF"/>
        <w:autoSpaceDE w:val="0"/>
        <w:autoSpaceDN w:val="0"/>
        <w:adjustRightInd w:val="0"/>
        <w:ind w:firstLine="902"/>
        <w:jc w:val="both"/>
        <w:rPr>
          <w:color w:val="000000"/>
          <w:sz w:val="24"/>
          <w:lang w:val="uk-UA"/>
        </w:rPr>
      </w:pPr>
      <w:r w:rsidRPr="00422507">
        <w:rPr>
          <w:color w:val="000000"/>
          <w:sz w:val="24"/>
          <w:lang w:val="uk-UA"/>
        </w:rPr>
        <w:t>5. У випадках, коли до роботи додаються структурно-логічна схема або таблиці, вони подаються у тексті залежно від змісту частини, до якої віднесено схему чи таблицю.</w:t>
      </w:r>
    </w:p>
    <w:p w:rsidR="00F65606" w:rsidRPr="00422507" w:rsidRDefault="00F65606" w:rsidP="00F65606">
      <w:pPr>
        <w:tabs>
          <w:tab w:val="left" w:pos="1134"/>
        </w:tabs>
        <w:ind w:firstLine="902"/>
        <w:jc w:val="both"/>
        <w:rPr>
          <w:sz w:val="24"/>
          <w:lang w:val="uk-UA"/>
        </w:rPr>
      </w:pPr>
      <w:r w:rsidRPr="00422507">
        <w:rPr>
          <w:color w:val="000000"/>
          <w:sz w:val="24"/>
          <w:lang w:val="uk-UA"/>
        </w:rPr>
        <w:t xml:space="preserve">6. Використання цитат та окремих частин тексту з інформаційних джерел повинно супроводжуватися посиланням та ці джерела шляхом оформлення зносок у кінці сторінки. </w:t>
      </w:r>
    </w:p>
    <w:p w:rsidR="000C524A" w:rsidRPr="00F65606" w:rsidRDefault="00F65606" w:rsidP="00A1608D">
      <w:pPr>
        <w:shd w:val="clear" w:color="auto" w:fill="FFFFFF"/>
        <w:autoSpaceDE w:val="0"/>
        <w:autoSpaceDN w:val="0"/>
        <w:adjustRightInd w:val="0"/>
        <w:ind w:firstLine="902"/>
        <w:jc w:val="both"/>
        <w:rPr>
          <w:lang w:val="uk-UA"/>
        </w:rPr>
      </w:pPr>
      <w:r w:rsidRPr="00422507">
        <w:rPr>
          <w:sz w:val="24"/>
          <w:lang w:val="uk-UA"/>
        </w:rPr>
        <w:t xml:space="preserve">7. Для виконання роботи рекомендується використати літературу, яка подається </w:t>
      </w:r>
      <w:r w:rsidR="00F94412">
        <w:rPr>
          <w:sz w:val="24"/>
          <w:lang w:val="uk-UA"/>
        </w:rPr>
        <w:t>в робочій програмі</w:t>
      </w:r>
      <w:r w:rsidRPr="00422507">
        <w:rPr>
          <w:sz w:val="24"/>
          <w:lang w:val="uk-UA"/>
        </w:rPr>
        <w:t>. До роботи слід обов’язково додати список фактично використаної автором літератури відповідно до встановлених вимог, які пред’являються до оформлення літератури. Індивідуальна робота, яка не відповідає поставленим вимогам, повертається для доопрацювання.</w:t>
      </w:r>
    </w:p>
    <w:sectPr w:rsidR="000C524A" w:rsidRPr="00F65606" w:rsidSect="00DC7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215568D8"/>
    <w:multiLevelType w:val="hybridMultilevel"/>
    <w:tmpl w:val="F3B87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606"/>
    <w:rsid w:val="000C524A"/>
    <w:rsid w:val="002934F7"/>
    <w:rsid w:val="0085631C"/>
    <w:rsid w:val="009E762F"/>
    <w:rsid w:val="00A1608D"/>
    <w:rsid w:val="00A675D2"/>
    <w:rsid w:val="00D1150A"/>
    <w:rsid w:val="00DC7291"/>
    <w:rsid w:val="00F65606"/>
    <w:rsid w:val="00F94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06"/>
    <w:rPr>
      <w:rFonts w:ascii="Times New Roman" w:eastAsia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76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6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6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62F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6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62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62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62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6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6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E76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E76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E762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E762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E762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E762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E762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E762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E76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E76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E76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E762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E762F"/>
    <w:rPr>
      <w:b/>
      <w:bCs/>
    </w:rPr>
  </w:style>
  <w:style w:type="character" w:styleId="a8">
    <w:name w:val="Emphasis"/>
    <w:basedOn w:val="a0"/>
    <w:uiPriority w:val="20"/>
    <w:qFormat/>
    <w:rsid w:val="009E762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E762F"/>
    <w:rPr>
      <w:szCs w:val="32"/>
    </w:rPr>
  </w:style>
  <w:style w:type="paragraph" w:styleId="aa">
    <w:name w:val="List Paragraph"/>
    <w:basedOn w:val="a"/>
    <w:uiPriority w:val="34"/>
    <w:qFormat/>
    <w:rsid w:val="009E76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762F"/>
    <w:rPr>
      <w:i/>
    </w:rPr>
  </w:style>
  <w:style w:type="character" w:customStyle="1" w:styleId="22">
    <w:name w:val="Цитата 2 Знак"/>
    <w:basedOn w:val="a0"/>
    <w:link w:val="21"/>
    <w:uiPriority w:val="29"/>
    <w:rsid w:val="009E762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E762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E762F"/>
    <w:rPr>
      <w:b/>
      <w:i/>
      <w:sz w:val="24"/>
    </w:rPr>
  </w:style>
  <w:style w:type="character" w:styleId="ad">
    <w:name w:val="Subtle Emphasis"/>
    <w:uiPriority w:val="19"/>
    <w:qFormat/>
    <w:rsid w:val="009E762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E762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E762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E762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E762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E762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F65606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656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2016-02-11T08:53:00Z</cp:lastPrinted>
  <dcterms:created xsi:type="dcterms:W3CDTF">2020-04-04T14:12:00Z</dcterms:created>
  <dcterms:modified xsi:type="dcterms:W3CDTF">2020-04-04T19:05:00Z</dcterms:modified>
</cp:coreProperties>
</file>