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AA" w:rsidRPr="009137AA" w:rsidRDefault="009137AA" w:rsidP="009137AA">
      <w:pPr>
        <w:keepNext/>
        <w:keepLines/>
        <w:spacing w:after="3"/>
        <w:ind w:left="10" w:right="74" w:hanging="10"/>
        <w:jc w:val="center"/>
        <w:outlineLvl w:val="0"/>
        <w:rPr>
          <w:rFonts w:ascii="Times New Roman" w:eastAsia="Times New Roman" w:hAnsi="Times New Roman" w:cs="Times New Roman"/>
          <w:b/>
          <w:color w:val="000000"/>
          <w:sz w:val="28"/>
          <w:lang w:eastAsia="ru-RU"/>
        </w:rPr>
      </w:pPr>
      <w:bookmarkStart w:id="0" w:name="_Toc358043"/>
      <w:r>
        <w:rPr>
          <w:rFonts w:ascii="Times New Roman" w:eastAsia="Times New Roman" w:hAnsi="Times New Roman" w:cs="Times New Roman"/>
          <w:b/>
          <w:color w:val="000000"/>
          <w:sz w:val="28"/>
          <w:lang w:val="uk-UA" w:eastAsia="ru-RU"/>
        </w:rPr>
        <w:t>Тема 4</w:t>
      </w:r>
      <w:r w:rsidRPr="009137AA">
        <w:rPr>
          <w:rFonts w:ascii="Times New Roman" w:eastAsia="Times New Roman" w:hAnsi="Times New Roman" w:cs="Times New Roman"/>
          <w:b/>
          <w:color w:val="000000"/>
          <w:sz w:val="28"/>
          <w:lang w:eastAsia="ru-RU"/>
        </w:rPr>
        <w:t xml:space="preserve"> Регіональні особливості </w:t>
      </w:r>
      <w:bookmarkStart w:id="1" w:name="_Toc358038"/>
      <w:bookmarkEnd w:id="0"/>
      <w:r>
        <w:rPr>
          <w:rFonts w:ascii="Times New Roman" w:eastAsia="Times New Roman" w:hAnsi="Times New Roman" w:cs="Times New Roman"/>
          <w:b/>
          <w:color w:val="000000"/>
          <w:sz w:val="28"/>
          <w:lang w:val="uk-UA" w:eastAsia="ru-RU"/>
        </w:rPr>
        <w:t>е</w:t>
      </w:r>
      <w:r>
        <w:rPr>
          <w:rFonts w:ascii="Times New Roman" w:eastAsia="Times New Roman" w:hAnsi="Times New Roman" w:cs="Times New Roman"/>
          <w:b/>
          <w:color w:val="000000"/>
          <w:sz w:val="28"/>
          <w:lang w:eastAsia="ru-RU"/>
        </w:rPr>
        <w:t>кономіки</w:t>
      </w:r>
      <w:r w:rsidRPr="009137AA">
        <w:rPr>
          <w:rFonts w:ascii="Times New Roman" w:eastAsia="Times New Roman" w:hAnsi="Times New Roman" w:cs="Times New Roman"/>
          <w:b/>
          <w:color w:val="000000"/>
          <w:sz w:val="28"/>
          <w:lang w:eastAsia="ru-RU"/>
        </w:rPr>
        <w:t xml:space="preserve"> країн Європи </w:t>
      </w:r>
      <w:bookmarkEnd w:id="1"/>
    </w:p>
    <w:p w:rsidR="009137AA" w:rsidRPr="009137AA" w:rsidRDefault="009137AA" w:rsidP="009137AA">
      <w:pPr>
        <w:spacing w:after="2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r w:rsidRPr="009137AA">
        <w:rPr>
          <w:rFonts w:ascii="Times New Roman" w:eastAsia="Times New Roman" w:hAnsi="Times New Roman" w:cs="Times New Roman"/>
          <w:color w:val="000000"/>
          <w:sz w:val="28"/>
          <w:lang w:eastAsia="ru-RU"/>
        </w:rPr>
        <w:t xml:space="preserve">.1. Західна Європа </w:t>
      </w:r>
    </w:p>
    <w:p w:rsidR="009137AA" w:rsidRPr="009137AA" w:rsidRDefault="009137AA" w:rsidP="009137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4.2.</w:t>
      </w:r>
      <w:r w:rsidRPr="009137AA">
        <w:rPr>
          <w:rFonts w:ascii="Times New Roman" w:eastAsia="Times New Roman" w:hAnsi="Times New Roman" w:cs="Times New Roman"/>
          <w:color w:val="000000"/>
          <w:sz w:val="28"/>
          <w:lang w:eastAsia="ru-RU"/>
        </w:rPr>
        <w:t xml:space="preserve"> Північна Європа </w:t>
      </w:r>
    </w:p>
    <w:p w:rsidR="009137AA" w:rsidRPr="009137AA" w:rsidRDefault="009137AA" w:rsidP="009137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r w:rsidRPr="009137AA">
        <w:rPr>
          <w:rFonts w:ascii="Times New Roman" w:eastAsia="Times New Roman" w:hAnsi="Times New Roman" w:cs="Times New Roman"/>
          <w:color w:val="000000"/>
          <w:sz w:val="28"/>
          <w:lang w:eastAsia="ru-RU"/>
        </w:rPr>
        <w:t xml:space="preserve">.3. Південна Європа </w:t>
      </w:r>
    </w:p>
    <w:p w:rsidR="009137AA" w:rsidRPr="009137AA" w:rsidRDefault="009137AA" w:rsidP="009137AA">
      <w:pPr>
        <w:spacing w:after="5" w:line="268" w:lineRule="auto"/>
        <w:ind w:left="283" w:right="67"/>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r w:rsidRPr="009137AA">
        <w:rPr>
          <w:rFonts w:ascii="Times New Roman" w:eastAsia="Times New Roman" w:hAnsi="Times New Roman" w:cs="Times New Roman"/>
          <w:color w:val="000000"/>
          <w:sz w:val="28"/>
          <w:lang w:eastAsia="ru-RU"/>
        </w:rPr>
        <w:t xml:space="preserve">.4. Центральна та Східна Європа </w:t>
      </w:r>
    </w:p>
    <w:p w:rsidR="009137AA" w:rsidRPr="009137AA" w:rsidRDefault="009137AA" w:rsidP="009137AA">
      <w:pPr>
        <w:keepNext/>
        <w:keepLines/>
        <w:spacing w:after="3"/>
        <w:ind w:left="10" w:right="74" w:hanging="10"/>
        <w:jc w:val="center"/>
        <w:outlineLvl w:val="0"/>
        <w:rPr>
          <w:rFonts w:ascii="Times New Roman" w:eastAsia="Times New Roman" w:hAnsi="Times New Roman" w:cs="Times New Roman"/>
          <w:b/>
          <w:color w:val="000000"/>
          <w:sz w:val="28"/>
          <w:lang w:eastAsia="ru-RU"/>
        </w:rPr>
      </w:pPr>
    </w:p>
    <w:p w:rsidR="009137AA" w:rsidRPr="009137AA" w:rsidRDefault="005C5065" w:rsidP="009137AA">
      <w:pPr>
        <w:keepNext/>
        <w:keepLines/>
        <w:spacing w:after="3"/>
        <w:ind w:left="10" w:right="76" w:hanging="10"/>
        <w:jc w:val="center"/>
        <w:outlineLvl w:val="1"/>
        <w:rPr>
          <w:rFonts w:ascii="Times New Roman" w:eastAsia="Times New Roman" w:hAnsi="Times New Roman" w:cs="Times New Roman"/>
          <w:b/>
          <w:color w:val="000000"/>
          <w:sz w:val="28"/>
          <w:lang w:eastAsia="ru-RU"/>
        </w:rPr>
      </w:pPr>
      <w:bookmarkStart w:id="2" w:name="_Toc358044"/>
      <w:r>
        <w:rPr>
          <w:rFonts w:ascii="Times New Roman" w:eastAsia="Times New Roman" w:hAnsi="Times New Roman" w:cs="Times New Roman"/>
          <w:b/>
          <w:color w:val="000000"/>
          <w:sz w:val="28"/>
          <w:lang w:eastAsia="ru-RU"/>
        </w:rPr>
        <w:t>4</w:t>
      </w:r>
      <w:r w:rsidR="009137AA" w:rsidRPr="009137AA">
        <w:rPr>
          <w:rFonts w:ascii="Times New Roman" w:eastAsia="Times New Roman" w:hAnsi="Times New Roman" w:cs="Times New Roman"/>
          <w:b/>
          <w:color w:val="000000"/>
          <w:sz w:val="28"/>
          <w:lang w:eastAsia="ru-RU"/>
        </w:rPr>
        <w:t xml:space="preserve">.1. Західна Європа </w:t>
      </w:r>
      <w:bookmarkEnd w:id="2"/>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Західна Європа займає західну частину материка Євразія і на сьогодні є одним із найрозвинутіших регіонів світу. До неї входить 11 країн (Австрія, Бельгія, Велика Британія, Ірландія, Ліхтенштейн, Люксембург, Монако, Нідерланди, Німеччина, Франція, Швейцарія (табл. 2.14)), більшість з яких входять до ЄС (крім Великобританії, Ліхтенштейну, Монако та Швейцарії). Три країни входять до G7 – це Німеччина, Великобританія та Франція. За рівнем ВВП (ПКС), у 2020 р. ці ж країни входять до першої десятки найбільших економік світу займаючи відповідно Німеччина – 5-те місце (4 500 млрд дол.), Франція – 9-те місце (3 000 млрд дол.) та Великобританія </w:t>
      </w:r>
    </w:p>
    <w:p w:rsidR="009137AA" w:rsidRPr="009137AA" w:rsidRDefault="009137AA" w:rsidP="009137AA">
      <w:pPr>
        <w:spacing w:after="5" w:line="268" w:lineRule="auto"/>
        <w:ind w:left="9" w:right="67"/>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10-те місце (2 960 млрд дол.). </w:t>
      </w:r>
    </w:p>
    <w:p w:rsidR="009137AA" w:rsidRPr="009137AA" w:rsidRDefault="009137AA" w:rsidP="009137AA">
      <w:pPr>
        <w:spacing w:after="0"/>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r w:rsidRPr="009137AA">
        <w:rPr>
          <w:rFonts w:ascii="Times New Roman" w:eastAsia="Times New Roman" w:hAnsi="Times New Roman" w:cs="Times New Roman"/>
          <w:color w:val="000000"/>
          <w:sz w:val="28"/>
          <w:lang w:eastAsia="ru-RU"/>
        </w:rPr>
        <w:tab/>
        <w:t xml:space="preserve"> </w:t>
      </w:r>
    </w:p>
    <w:p w:rsidR="009137AA" w:rsidRPr="009137AA" w:rsidRDefault="009137AA" w:rsidP="009137AA">
      <w:pPr>
        <w:spacing w:after="5" w:line="269" w:lineRule="auto"/>
        <w:ind w:left="13" w:right="3" w:hanging="1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Таблиця 2.14. Порівняльна характеристика країн Західної Європи, 2020 р.  (країни розміщені за розміром ВВП (ПКС)) </w:t>
      </w:r>
    </w:p>
    <w:tbl>
      <w:tblPr>
        <w:tblStyle w:val="TableGrid"/>
        <w:tblW w:w="9640" w:type="dxa"/>
        <w:tblInd w:w="5" w:type="dxa"/>
        <w:tblCellMar>
          <w:top w:w="7" w:type="dxa"/>
          <w:left w:w="108" w:type="dxa"/>
          <w:bottom w:w="0" w:type="dxa"/>
          <w:right w:w="111" w:type="dxa"/>
        </w:tblCellMar>
        <w:tblLook w:val="04A0" w:firstRow="1" w:lastRow="0" w:firstColumn="1" w:lastColumn="0" w:noHBand="0" w:noVBand="1"/>
      </w:tblPr>
      <w:tblGrid>
        <w:gridCol w:w="3171"/>
        <w:gridCol w:w="1522"/>
        <w:gridCol w:w="1848"/>
        <w:gridCol w:w="1455"/>
        <w:gridCol w:w="1644"/>
      </w:tblGrid>
      <w:tr w:rsidR="009137AA" w:rsidRPr="009137AA" w:rsidTr="004A4F73">
        <w:trPr>
          <w:trHeight w:val="701"/>
        </w:trPr>
        <w:tc>
          <w:tcPr>
            <w:tcW w:w="3171"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Країна </w:t>
            </w:r>
            <w:r w:rsidRPr="009137AA">
              <w:rPr>
                <w:rFonts w:ascii="Times New Roman" w:eastAsia="Times New Roman" w:hAnsi="Times New Roman" w:cs="Times New Roman"/>
                <w:color w:val="000000"/>
                <w:sz w:val="20"/>
                <w:vertAlign w:val="superscript"/>
              </w:rPr>
              <w:t>1</w:t>
            </w:r>
            <w:r w:rsidRPr="009137AA">
              <w:rPr>
                <w:rFonts w:ascii="Times New Roman" w:eastAsia="Times New Roman" w:hAnsi="Times New Roman" w:cs="Times New Roman"/>
                <w:color w:val="000000"/>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Площа, км</w:t>
            </w:r>
            <w:r w:rsidRPr="009137AA">
              <w:rPr>
                <w:rFonts w:ascii="Times New Roman" w:eastAsia="Times New Roman" w:hAnsi="Times New Roman" w:cs="Times New Roman"/>
                <w:color w:val="000000"/>
                <w:sz w:val="20"/>
                <w:vertAlign w:val="superscript"/>
              </w:rPr>
              <w:t>2</w:t>
            </w:r>
            <w:r w:rsidRPr="009137AA">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Населення </w:t>
            </w:r>
          </w:p>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(01.07.2021), млн осіб </w:t>
            </w:r>
          </w:p>
        </w:tc>
        <w:tc>
          <w:tcPr>
            <w:tcW w:w="1455"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млрд дол. </w:t>
            </w:r>
          </w:p>
        </w:tc>
        <w:tc>
          <w:tcPr>
            <w:tcW w:w="1644"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на особу, тис. дол.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 Німеччина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357 022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79,9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4 500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54,08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 Франція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551 500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68,1 (62,8) </w:t>
            </w:r>
            <w:r w:rsidRPr="009137AA">
              <w:rPr>
                <w:rFonts w:ascii="Times New Roman" w:eastAsia="Times New Roman" w:hAnsi="Times New Roman" w:cs="Times New Roman"/>
                <w:color w:val="000000"/>
                <w:sz w:val="20"/>
                <w:vertAlign w:val="superscript"/>
              </w:rPr>
              <w:t>4</w:t>
            </w:r>
            <w:r w:rsidRPr="009137AA">
              <w:rPr>
                <w:rFonts w:ascii="Times New Roman" w:eastAsia="Times New Roman" w:hAnsi="Times New Roman" w:cs="Times New Roman"/>
                <w:color w:val="000000"/>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3 000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46,06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 Великобританія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243 610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67,1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2 960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44,12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8. Нідерланди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41 543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17,3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1 000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57,53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9. Швейцарія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41 277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8,5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627,15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72,87 (3)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11. Бельгія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30 528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11,8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588,75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51,10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15. Австрія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83 871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8,9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491,50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55,22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16. Ірландія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70 273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471,36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94,39 (2)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31. Люксембург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2 586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0,639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73,88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118,00 (1)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43. Монако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0,031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44. о. Мен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572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0,091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r w:rsidR="009137AA" w:rsidRPr="009137AA" w:rsidTr="004A4F73">
        <w:trPr>
          <w:trHeight w:val="241"/>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45. о. Джерсі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116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0,101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46. Ліхтенштейн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160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0,039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47. о. Гернсі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0,067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bl>
    <w:p w:rsidR="009137AA" w:rsidRPr="009137AA" w:rsidRDefault="009137AA" w:rsidP="009137AA">
      <w:pPr>
        <w:spacing w:after="70"/>
        <w:ind w:left="703" w:right="626" w:hanging="10"/>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0"/>
          <w:vertAlign w:val="superscript"/>
          <w:lang w:eastAsia="ru-RU"/>
        </w:rPr>
        <w:t>1</w:t>
      </w:r>
      <w:r w:rsidRPr="009137AA">
        <w:rPr>
          <w:rFonts w:ascii="Times New Roman" w:eastAsia="Times New Roman" w:hAnsi="Times New Roman" w:cs="Times New Roman"/>
          <w:color w:val="000000"/>
          <w:sz w:val="20"/>
          <w:lang w:eastAsia="ru-RU"/>
        </w:rPr>
        <w:t xml:space="preserve"> Країни розміщені за розміром ВВП (ПКС). </w:t>
      </w:r>
    </w:p>
    <w:p w:rsidR="009137AA" w:rsidRPr="009137AA" w:rsidRDefault="009137AA" w:rsidP="009137AA">
      <w:pPr>
        <w:spacing w:after="0"/>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Країни Західної Європи мають один з найвищих рівнів життя населення у світі. Так, за розміром ВВП (ПКС) на особу, всі країни регіону (за виключенням Великобританії) мають вищий рівень від середнього по ЄС </w:t>
      </w:r>
      <w:r w:rsidRPr="009137AA">
        <w:rPr>
          <w:rFonts w:ascii="Times New Roman" w:eastAsia="Times New Roman" w:hAnsi="Times New Roman" w:cs="Times New Roman"/>
          <w:color w:val="000000"/>
          <w:sz w:val="28"/>
          <w:lang w:eastAsia="ru-RU"/>
        </w:rPr>
        <w:lastRenderedPageBreak/>
        <w:t xml:space="preserve">(44,19 тис. дол.), а Люксембург (118,0 тис. дол.) за цим показником займав перше місце у світі.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Усі країни регіону перейшли до постіндустріальної сфери розвитку, бо у створеному ВВП домінує сфера послуг, зокрема у Люксембургу – 86,9 %, Великобританії – 79,2 %, Франції – 78,8 % (одні з найвищих показників у світі). Найвища частка промисловості у ВВП у Німеччини (30,7 %), Австрії (28,4 %) та Швейцарії (25,6 %). Частка сільського господарства в країнах Західної Європи незначна. У Німеччини та Великобританії по 0,7 %, але це не свідчить про його низький розвиток, а навпаки, про продуктивність праці в сільському господарстві країн регіону, що є однією з найвищих у світі. Так, один працівник, зайнятий у цьому секторі економіки Нідерландів, забезпечує продуктами харчування до 150 осіб.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Країни Західної Європи відіграють важливу роль у європейській та світовій економіці й політиці. Францію та Німеччину вважають центром ЄС, тут формуються його політичні рішення.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Серед факторів формування економічного потенціалу у державах Західної Європи до провідних слід віднести фінансові ресурси та висококваліфіковану робочу силу. У деяких видах найсучасніших виробництв країни регіону поступаються США, Японії та Південній Кореї, але в машинобудуванні, особливо загальному машинобудуванні (виробництво верстатів), є світовими лідерами. Мінерально-сировинна база регіону є обмеженою, а видобуток власних корисних копалин постійно скорочується у зв’язку з їх низькою якістю та дорогою робочою силою. Частка імпортованих природних ресурсів постійно зростає, що призводить до збільшення енергетичної та сировинної залежності Західної Європи від Росії, країн Перської затоки та Північної Африки.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Найбільші країни регіону: Німеччина, Великобританія, Франція відносяться до провідних економік світу. Щодо «малих» країн Західної Європи (Австрія, Швейцарія, Нідерланди, Бельгія, Люксембург, Ірландія), то такими їх можна вважати лише за територією та населенням. За економічним потенціалом та рівнем життя населення їх можна віднести до найуспішніших країн у світі.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Ірландія, що протягом багатьох століть була найбіднішою країною Європи, після вступу до ЄС 1973 р., провела повну перебудову власної економіки і на початку ХХІ ст. стала однією з найбагатших країн Європи та світу. За рівнем ВВП (ПКС) на особу у 2020 р. (84,39 тис. дол.) серед країн Європи вона займала 2-ге місце та 3-є у світі.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25 найбільших ТНК світу (за доходом у 2020 р.) за даними рейтингу Global 500 входять: німецькі автомобілебудівні компанії Volkswagen (10-те місце у світі та перше у Європі), Daimler (24-те місце у світі та 4-те у Європі), </w:t>
      </w:r>
      <w:r w:rsidRPr="009137AA">
        <w:rPr>
          <w:rFonts w:ascii="Times New Roman" w:eastAsia="Times New Roman" w:hAnsi="Times New Roman" w:cs="Times New Roman"/>
          <w:color w:val="000000"/>
          <w:sz w:val="28"/>
          <w:lang w:eastAsia="ru-RU"/>
        </w:rPr>
        <w:lastRenderedPageBreak/>
        <w:t xml:space="preserve">BMW Group (54-те місце у світі та 11-те у Європі), страхові компанії Allianz (39-ме місце у світі та 7-ме у Європі), Munich Re Group (117-те місце у світі та 23-є у Європі), телекомунікаційна компанія Deutsche Telecom (53-є у світі та 10-те у Європі), машинобудівна компанія Bosch Group (98-ме у світі та 19-те у Європі), поштова компанія Deutsche Post DHL Croup (113-те місце у світі та 23-є у Європі); британські: нафтова компанія BP (18-те місце у світі та 2-ге у Європі), компанія з роздрібної торгівлі Tesco (99-те місце у світі та 20-те у Європі), банк HSBC Holdings (102-ге місце у світі та 21-ше у Європі); нідерландські: нафтова компанія Royal Dutch Shell (19-те місце у світі та 3-є у Європі) та компанія з роздрібної торгівлі Royal Ahold Delhaize (87-ме місце у світі та 15-те у Європі); швейцарські: гірничовидобувана та нафтова компанія Glencore (34-те місце у світі та 5-те у Європі) та компанія харчової промисловості Nestle (79-те місце у світі та 13-те у Європі); французькі: страхова компанія AXA (46-те місце у світі та 8-ме у Європі), нафтова компанія TotalEnergies (52-ге місце у світі та 9-те у Європі), банки Crédit Agricole (93-є місце у світі та 16-те у Європі) та BNP Paribas (97-ме місце у світі та 18-те у Європі), компанія з роздрібної торгівлі Carrefour (96-те місце у світі та 17-те у Європі), енергетична компанія Electricite de France (105-те місце у світі та 22-ге у Європі). Серед 25-ти найбільших компаній Європи, 21-на мають свій центральний офіс у країнах Західної Європи.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Наразі у світовій економіці можна розглядати три центри сили: США, Європу та Східну Азію, а країни Західної Європи можна назвати мотором, або основною рушійною силою європейської економіки. </w:t>
      </w:r>
    </w:p>
    <w:p w:rsidR="009137AA" w:rsidRPr="009137AA" w:rsidRDefault="009137AA" w:rsidP="009137AA">
      <w:pPr>
        <w:spacing w:after="34"/>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5C5065" w:rsidP="009137AA">
      <w:pPr>
        <w:keepNext/>
        <w:keepLines/>
        <w:spacing w:after="3"/>
        <w:ind w:left="10" w:right="73" w:hanging="10"/>
        <w:jc w:val="center"/>
        <w:outlineLvl w:val="1"/>
        <w:rPr>
          <w:rFonts w:ascii="Times New Roman" w:eastAsia="Times New Roman" w:hAnsi="Times New Roman" w:cs="Times New Roman"/>
          <w:b/>
          <w:color w:val="000000"/>
          <w:sz w:val="28"/>
          <w:lang w:eastAsia="ru-RU"/>
        </w:rPr>
      </w:pPr>
      <w:bookmarkStart w:id="3" w:name="_Toc358045"/>
      <w:r>
        <w:rPr>
          <w:rFonts w:ascii="Times New Roman" w:eastAsia="Times New Roman" w:hAnsi="Times New Roman" w:cs="Times New Roman"/>
          <w:b/>
          <w:color w:val="000000"/>
          <w:sz w:val="28"/>
          <w:lang w:eastAsia="ru-RU"/>
        </w:rPr>
        <w:t>4</w:t>
      </w:r>
      <w:r w:rsidR="009137AA" w:rsidRPr="009137AA">
        <w:rPr>
          <w:rFonts w:ascii="Times New Roman" w:eastAsia="Times New Roman" w:hAnsi="Times New Roman" w:cs="Times New Roman"/>
          <w:b/>
          <w:color w:val="000000"/>
          <w:sz w:val="28"/>
          <w:lang w:eastAsia="ru-RU"/>
        </w:rPr>
        <w:t xml:space="preserve">.2. Північна Європа </w:t>
      </w:r>
      <w:bookmarkEnd w:id="3"/>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регіону Північної Європи входять п’ять незалежних держав (Данія, Ісландія, Норвегія, Швеція, Фінляндія) і дві залежні території – Фарерські острови і острів Гренландія, які належать Данії (табл. 2.15).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Регіон охоплює країни з розвинутою економікою, яким притаманна соціально-ринкова модель розвитку економіки, або «суспільство загального добробуту» чи «скандинавський соціалізм». Іноді цю модель ще називають корпоративістською. В її основі лежить високий рівень життя і висока соціальна захищеність, що характеризується такими ознаками: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високим рівнем життя та відсутністю соціальних контрастів;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значним рівнем оподаткування;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перерозподілом через державний бюджет значної частки ВВП;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низьким рівнем інфляції;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високою соціальною захищеністю;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забезпеченістю житлом;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низьким рівнем безробіття;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lastRenderedPageBreak/>
        <w:t xml:space="preserve">бережливим ставленням до природи; </w:t>
      </w:r>
    </w:p>
    <w:p w:rsidR="009137AA" w:rsidRPr="009137AA" w:rsidRDefault="009137AA" w:rsidP="009137AA">
      <w:pPr>
        <w:numPr>
          <w:ilvl w:val="0"/>
          <w:numId w:val="1"/>
        </w:numPr>
        <w:spacing w:after="5" w:line="268" w:lineRule="auto"/>
        <w:ind w:right="67" w:hanging="216"/>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високою часткою витрат на НДДКР у ВВП. </w:t>
      </w:r>
    </w:p>
    <w:p w:rsidR="009137AA" w:rsidRPr="009137AA" w:rsidRDefault="009137AA" w:rsidP="009137AA">
      <w:pPr>
        <w:spacing w:after="24"/>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9" w:lineRule="auto"/>
        <w:ind w:left="13" w:right="3" w:hanging="1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Таблиця 2.15. Порівняльна характеристика країн Північної Європи, 2020 р.  (країни розміщені за розміром ВВП (ПКС)) </w:t>
      </w:r>
    </w:p>
    <w:tbl>
      <w:tblPr>
        <w:tblStyle w:val="TableGrid"/>
        <w:tblW w:w="9640" w:type="dxa"/>
        <w:tblInd w:w="5" w:type="dxa"/>
        <w:tblCellMar>
          <w:top w:w="7" w:type="dxa"/>
          <w:left w:w="108" w:type="dxa"/>
          <w:bottom w:w="0" w:type="dxa"/>
          <w:right w:w="111" w:type="dxa"/>
        </w:tblCellMar>
        <w:tblLook w:val="04A0" w:firstRow="1" w:lastRow="0" w:firstColumn="1" w:lastColumn="0" w:noHBand="0" w:noVBand="1"/>
      </w:tblPr>
      <w:tblGrid>
        <w:gridCol w:w="3171"/>
        <w:gridCol w:w="1522"/>
        <w:gridCol w:w="1848"/>
        <w:gridCol w:w="1455"/>
        <w:gridCol w:w="1644"/>
      </w:tblGrid>
      <w:tr w:rsidR="009137AA" w:rsidRPr="009137AA" w:rsidTr="004A4F73">
        <w:trPr>
          <w:trHeight w:val="701"/>
        </w:trPr>
        <w:tc>
          <w:tcPr>
            <w:tcW w:w="3171"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Країна </w:t>
            </w:r>
            <w:r w:rsidRPr="009137AA">
              <w:rPr>
                <w:rFonts w:ascii="Times New Roman" w:eastAsia="Times New Roman" w:hAnsi="Times New Roman" w:cs="Times New Roman"/>
                <w:color w:val="000000"/>
                <w:sz w:val="20"/>
                <w:vertAlign w:val="superscript"/>
              </w:rPr>
              <w:t>1</w:t>
            </w:r>
            <w:r w:rsidRPr="009137AA">
              <w:rPr>
                <w:rFonts w:ascii="Times New Roman" w:eastAsia="Times New Roman" w:hAnsi="Times New Roman" w:cs="Times New Roman"/>
                <w:color w:val="000000"/>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Площа, км</w:t>
            </w:r>
            <w:r w:rsidRPr="009137AA">
              <w:rPr>
                <w:rFonts w:ascii="Times New Roman" w:eastAsia="Times New Roman" w:hAnsi="Times New Roman" w:cs="Times New Roman"/>
                <w:color w:val="000000"/>
                <w:sz w:val="20"/>
                <w:vertAlign w:val="superscript"/>
              </w:rPr>
              <w:t>2</w:t>
            </w:r>
            <w:r w:rsidRPr="009137AA">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Населення </w:t>
            </w:r>
          </w:p>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(01.07.2021), млн осіб </w:t>
            </w:r>
          </w:p>
        </w:tc>
        <w:tc>
          <w:tcPr>
            <w:tcW w:w="1455"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млрд дол. </w:t>
            </w:r>
          </w:p>
        </w:tc>
        <w:tc>
          <w:tcPr>
            <w:tcW w:w="1644"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на особу, тис. дол.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12. Швеція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450 295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562,00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54,15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18. Норвегія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323 802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5,5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354,59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65,80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20. Данія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43 094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343,15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58,93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23. Фінляндія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338 145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5,6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275,45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49,85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40. Ісландія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103 000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0,354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20,38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55,97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51. Фарерські о-ви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1 393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0,052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bl>
    <w:p w:rsidR="009137AA" w:rsidRPr="009137AA" w:rsidRDefault="009137AA" w:rsidP="009137AA">
      <w:pPr>
        <w:spacing w:after="70"/>
        <w:ind w:left="703" w:right="626" w:hanging="10"/>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0"/>
          <w:vertAlign w:val="superscript"/>
          <w:lang w:eastAsia="ru-RU"/>
        </w:rPr>
        <w:t>1</w:t>
      </w:r>
      <w:r w:rsidRPr="009137AA">
        <w:rPr>
          <w:rFonts w:ascii="Times New Roman" w:eastAsia="Times New Roman" w:hAnsi="Times New Roman" w:cs="Times New Roman"/>
          <w:color w:val="000000"/>
          <w:sz w:val="20"/>
          <w:lang w:eastAsia="ru-RU"/>
        </w:rPr>
        <w:t xml:space="preserve"> Країни розміщені за розміром ВВП (ПКС). </w:t>
      </w:r>
    </w:p>
    <w:p w:rsidR="009137AA" w:rsidRPr="009137AA" w:rsidRDefault="009137AA" w:rsidP="009137AA">
      <w:pPr>
        <w:spacing w:after="0"/>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рівнем ВВП (ПКС) на особу країни Північної Європи належать до найбагатших у світі та за підсумками 2019 р. займали відповідно: Норвегія – 7-ме місце у світі (65,8 0 тис. дол.), Данія – 10-те (58,93 тис. дол.), Ісландія – 14-те (55,97 тис. дол.), Швеція – 17-те (54,15 тис. дол.), Фінляндія – 20-те (49,85 тис. дол.). Кожна із зазначених країн випереджає за цим показником середній рівень ЄС (44,19 тис. дол.).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Країни Північної Європи проводять реформування своєї податкової системи зменшуючи ставки податків для підвищення конкурентоспроможності власних економік. Загальна податкова ставка у цих країн вже не є найвищою серед країн Європи, як це було наприкінці ХХ ст. Загальна податкова ставка складається із суми податку на прибуток, податку на заробітну плату та інших податків. Ставки податків країн Північної Європи приведені в табл. 2.16. Для порівняння найвища загальна податкова ставка серед країн ЄС в Франції – 60,7 %, а в Україні вона становить – 45,2 %.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Норвегія, Ісландія Швеція та Данія мають бездефіцитний бюджет. У Норвегії доходи (217,1 млрд дол.) перевищують витрати (199,5 млрд дол.) на 4,4 %, у Ісландії доходи (10,39 млрд дол.) перевищують витрати (10,02 млрд дол.) на 1,5 %, у Швеції доходи. (271,2 млрд дол.) перевищують витрати (264,4 млрд дол.) на 1,3 %, у Данії доходи (172,5 млрд дол.) перевищують витрати (168,9 млрд дол.) на 1,1 % У Фінляндії дефіцит бюджету становить 0,6 % ВВП, що відповідає вимогам для членів ЄС (дефіцит бюджету не має перевищувати 3 % від ВВП). Кожна з країн Північної Європи, близько 50 % ВВП перерозподіляє через державний бюджет. Так, частка доходної частини бюджету у ВВП у 2017 р. становила: Норвегія – 54,4 %, Фінляндія – 53,1 %, Данія – 53,0 %, Швеція – 50,6 %, Ісландія – 42,4 %. </w:t>
      </w:r>
    </w:p>
    <w:p w:rsidR="009137AA" w:rsidRPr="009137AA" w:rsidRDefault="009137AA" w:rsidP="009137AA">
      <w:pPr>
        <w:spacing w:after="68"/>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32"/>
          <w:lang w:eastAsia="ru-RU"/>
        </w:rPr>
        <w:lastRenderedPageBreak/>
        <w:t xml:space="preserve">Таблиця 2.16. Загальна податкова ставка та її складові у країнах Північної Європи, % </w:t>
      </w:r>
    </w:p>
    <w:tbl>
      <w:tblPr>
        <w:tblStyle w:val="TableGrid"/>
        <w:tblW w:w="9347" w:type="dxa"/>
        <w:tblInd w:w="5" w:type="dxa"/>
        <w:tblCellMar>
          <w:top w:w="7" w:type="dxa"/>
          <w:left w:w="108" w:type="dxa"/>
          <w:bottom w:w="0" w:type="dxa"/>
          <w:right w:w="115" w:type="dxa"/>
        </w:tblCellMar>
        <w:tblLook w:val="04A0" w:firstRow="1" w:lastRow="0" w:firstColumn="1" w:lastColumn="0" w:noHBand="0" w:noVBand="1"/>
      </w:tblPr>
      <w:tblGrid>
        <w:gridCol w:w="1872"/>
        <w:gridCol w:w="1868"/>
        <w:gridCol w:w="1870"/>
        <w:gridCol w:w="1863"/>
        <w:gridCol w:w="1874"/>
      </w:tblGrid>
      <w:tr w:rsidR="009137AA" w:rsidRPr="009137AA" w:rsidTr="004A4F73">
        <w:trPr>
          <w:trHeight w:val="468"/>
        </w:trPr>
        <w:tc>
          <w:tcPr>
            <w:tcW w:w="1872"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Країна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Податок на прибуток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Податок на заробітну плату </w:t>
            </w:r>
          </w:p>
        </w:tc>
        <w:tc>
          <w:tcPr>
            <w:tcW w:w="1863"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left="4"/>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Інші податки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4"/>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Загальна податкова ставка </w:t>
            </w:r>
          </w:p>
        </w:tc>
      </w:tr>
      <w:tr w:rsidR="009137AA" w:rsidRPr="009137AA"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 Швеція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13,1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35,4 </w:t>
            </w:r>
          </w:p>
        </w:tc>
        <w:tc>
          <w:tcPr>
            <w:tcW w:w="1863"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7"/>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0,6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49,1 </w:t>
            </w:r>
          </w:p>
        </w:tc>
      </w:tr>
      <w:tr w:rsidR="009137AA" w:rsidRPr="009137AA"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 Норвегія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20,0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15,9 </w:t>
            </w:r>
          </w:p>
        </w:tc>
        <w:tc>
          <w:tcPr>
            <w:tcW w:w="1863"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7"/>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0,3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36,2 </w:t>
            </w:r>
          </w:p>
        </w:tc>
      </w:tr>
      <w:tr w:rsidR="009137AA" w:rsidRPr="009137AA" w:rsidTr="004A4F73">
        <w:trPr>
          <w:trHeight w:val="241"/>
        </w:trPr>
        <w:tc>
          <w:tcPr>
            <w:tcW w:w="187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 Фінляндія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12,1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23,0 </w:t>
            </w:r>
          </w:p>
        </w:tc>
        <w:tc>
          <w:tcPr>
            <w:tcW w:w="1863"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7"/>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1,5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36,6 </w:t>
            </w:r>
          </w:p>
        </w:tc>
      </w:tr>
      <w:tr w:rsidR="009137AA" w:rsidRPr="009137AA"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 Ісландія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8,5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20,6 </w:t>
            </w:r>
          </w:p>
        </w:tc>
        <w:tc>
          <w:tcPr>
            <w:tcW w:w="1863"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7"/>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2,9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31,9 </w:t>
            </w:r>
          </w:p>
        </w:tc>
      </w:tr>
      <w:tr w:rsidR="009137AA" w:rsidRPr="009137AA" w:rsidTr="004A4F73">
        <w:trPr>
          <w:trHeight w:val="240"/>
        </w:trPr>
        <w:tc>
          <w:tcPr>
            <w:tcW w:w="187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 Данія </w:t>
            </w:r>
          </w:p>
        </w:tc>
        <w:tc>
          <w:tcPr>
            <w:tcW w:w="186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17,1 </w:t>
            </w:r>
          </w:p>
        </w:tc>
        <w:tc>
          <w:tcPr>
            <w:tcW w:w="1870"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4,0 </w:t>
            </w:r>
          </w:p>
        </w:tc>
        <w:tc>
          <w:tcPr>
            <w:tcW w:w="1863"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7"/>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2,8 </w:t>
            </w:r>
          </w:p>
        </w:tc>
        <w:tc>
          <w:tcPr>
            <w:tcW w:w="187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23,8 </w:t>
            </w:r>
          </w:p>
        </w:tc>
      </w:tr>
    </w:tbl>
    <w:p w:rsidR="009137AA" w:rsidRPr="009137AA" w:rsidRDefault="009137AA" w:rsidP="009137AA">
      <w:pPr>
        <w:spacing w:after="28"/>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Для країн регіону характерний низький рівень інфляції: Фінляндія – 0,8 %, Данія – 1,1 %, Ісландія – 1,8 %, Швеція – 1,9 %, Норвегія – 1,9 %.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Рівень безробіття у всіх країнах Північної Європи нижчий, ніж середній по ЄС (8,6 %): Фінляндія – 8,5 %, Швеція – 6,7 %, Данія – 5,7 %, Норвегія – 4,2 %, Ісландія – 2,8 %.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Середня площа житла у Швеції становить 400 м</w:t>
      </w:r>
      <w:r w:rsidRPr="009137AA">
        <w:rPr>
          <w:rFonts w:ascii="Times New Roman" w:eastAsia="Times New Roman" w:hAnsi="Times New Roman" w:cs="Times New Roman"/>
          <w:color w:val="000000"/>
          <w:sz w:val="28"/>
          <w:vertAlign w:val="superscript"/>
          <w:lang w:eastAsia="ru-RU"/>
        </w:rPr>
        <w:t>2</w:t>
      </w:r>
      <w:r w:rsidRPr="009137AA">
        <w:rPr>
          <w:rFonts w:ascii="Times New Roman" w:eastAsia="Times New Roman" w:hAnsi="Times New Roman" w:cs="Times New Roman"/>
          <w:color w:val="000000"/>
          <w:sz w:val="28"/>
          <w:lang w:eastAsia="ru-RU"/>
        </w:rPr>
        <w:t>, а на одного жителя припадає 140 м</w:t>
      </w:r>
      <w:r w:rsidRPr="009137AA">
        <w:rPr>
          <w:rFonts w:ascii="Times New Roman" w:eastAsia="Times New Roman" w:hAnsi="Times New Roman" w:cs="Times New Roman"/>
          <w:color w:val="000000"/>
          <w:sz w:val="28"/>
          <w:vertAlign w:val="superscript"/>
          <w:lang w:eastAsia="ru-RU"/>
        </w:rPr>
        <w:t>2</w:t>
      </w:r>
      <w:r w:rsidRPr="009137AA">
        <w:rPr>
          <w:rFonts w:ascii="Times New Roman" w:eastAsia="Times New Roman" w:hAnsi="Times New Roman" w:cs="Times New Roman"/>
          <w:color w:val="000000"/>
          <w:sz w:val="28"/>
          <w:lang w:eastAsia="ru-RU"/>
        </w:rPr>
        <w:t xml:space="preserve"> житлової площі (найвищі показники у світі). Високою є і соціальна захищеність: офіційно тривалість робочого тижня – 40 год., на практиці в середньому – 37 год., оплачувана відпустка – 5 тижнів, крім цього сплачуються витрати на дітей до 16 років, надаються позики на квартиру.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індексом екологічної ефективності у 2020 р. чотири з п’яти країн регіону входили до першої десятки у світовому рейтингу займаючи, відповідно, Данія – перше місце, Фінляндія – 7-ме місце, Швеція – 8-ме місце та Норвегія – 9-те місця, а Ісландія потрапила до другої десятки країн у цьому рейтингу займаючи 17-те місце. Всього у рейтингу 180 країн. Цей рейтинг враховує становище екології та управління природними ресурсами.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індексом розвитку людського потенціалу у 2020 р. Норвегія займала перше місце у світі, Ісландія – 4-те місце, Швеція – 7-ме місце, Данія – 10-те місце, Фінляндія – 11-те місце. Загалом у рейтингу приймало участь 189 країн.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витратам на НДДКР у відсотках від ВВП у 2020 р. Фінляндія (9,51 млрд дол.) поділяла 3–4-те місця з Японією у світі (3,5 %), Швеція (18,03 млрд дол.) – 5-те місце (3,28 %), Данія (9,93 млрд дол.) – 6-те місце (3,0 %). У Норвегії (6,33 млрд дол.) цей показник становив 1,74%. Перше місце у світі посідала Південна Корея (4,35 %).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рівнем конкурентоспроможності у 2019 р. усі країни Північної Європи потрапили до першої тридцятки (серед 140 країн світу) зайнявши, відповідно: Швеція – 8-ме місце, Данія – 10-те місце; Фінляндія – 11-те місце, Норвегія – 17-те місце, Ісландія – 26-те місце. </w:t>
      </w:r>
    </w:p>
    <w:p w:rsidR="009137AA" w:rsidRPr="009137AA" w:rsidRDefault="009137AA" w:rsidP="009137AA">
      <w:pPr>
        <w:spacing w:after="0"/>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5C5065" w:rsidP="009137AA">
      <w:pPr>
        <w:keepNext/>
        <w:keepLines/>
        <w:spacing w:after="3"/>
        <w:ind w:left="10" w:right="71" w:hanging="10"/>
        <w:jc w:val="center"/>
        <w:outlineLvl w:val="1"/>
        <w:rPr>
          <w:rFonts w:ascii="Times New Roman" w:eastAsia="Times New Roman" w:hAnsi="Times New Roman" w:cs="Times New Roman"/>
          <w:b/>
          <w:color w:val="000000"/>
          <w:sz w:val="28"/>
          <w:lang w:eastAsia="ru-RU"/>
        </w:rPr>
      </w:pPr>
      <w:bookmarkStart w:id="4" w:name="_Toc358046"/>
      <w:r>
        <w:rPr>
          <w:rFonts w:ascii="Times New Roman" w:eastAsia="Times New Roman" w:hAnsi="Times New Roman" w:cs="Times New Roman"/>
          <w:b/>
          <w:color w:val="000000"/>
          <w:sz w:val="28"/>
          <w:lang w:eastAsia="ru-RU"/>
        </w:rPr>
        <w:t>4</w:t>
      </w:r>
      <w:r w:rsidR="009137AA" w:rsidRPr="009137AA">
        <w:rPr>
          <w:rFonts w:ascii="Times New Roman" w:eastAsia="Times New Roman" w:hAnsi="Times New Roman" w:cs="Times New Roman"/>
          <w:b/>
          <w:color w:val="000000"/>
          <w:sz w:val="28"/>
          <w:lang w:eastAsia="ru-RU"/>
        </w:rPr>
        <w:t xml:space="preserve">.3. Південна Європа </w:t>
      </w:r>
      <w:bookmarkEnd w:id="4"/>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регіону Південної Європи входять 8 держав: Андорра, Ватикан, Греція, Іспанія, Італія, Мальта, Португалія, Сан-Марино, а також Гібралтар, </w:t>
      </w:r>
      <w:r w:rsidRPr="009137AA">
        <w:rPr>
          <w:rFonts w:ascii="Times New Roman" w:eastAsia="Times New Roman" w:hAnsi="Times New Roman" w:cs="Times New Roman"/>
          <w:color w:val="000000"/>
          <w:sz w:val="28"/>
          <w:lang w:eastAsia="ru-RU"/>
        </w:rPr>
        <w:lastRenderedPageBreak/>
        <w:t xml:space="preserve">що є залежною територією від Великобританії (табл. 2.17). Іноді до цього регіону відносять Південну Францію та Монако, оскільки ці території також виходять на узбережжя Середземного моря й мають з регіоном Південної Європи багато спільного. Південну Європу вважають одним із найдавніших районів розвитку людського суспільства, який поклав основи формування європейської цивілізації, тож і називають «колискою європейської цивілізації». В основному це стосується Древньої Греції (розквіт якої припав на V–ІV ст. до н. е.) та Древнього Риму (розквіт – перші ст. н. е.). </w:t>
      </w:r>
    </w:p>
    <w:p w:rsidR="009137AA" w:rsidRPr="009137AA" w:rsidRDefault="009137AA" w:rsidP="009137AA">
      <w:pPr>
        <w:spacing w:after="25"/>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9" w:lineRule="auto"/>
        <w:ind w:left="13" w:right="3" w:hanging="1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Таблиця 2.17. Порівняльна характеристика країн Південної Європи, 2020 р.  (країни розміщені за розміром ВВП (ПКС)) </w:t>
      </w:r>
    </w:p>
    <w:tbl>
      <w:tblPr>
        <w:tblStyle w:val="TableGrid"/>
        <w:tblW w:w="9640" w:type="dxa"/>
        <w:tblInd w:w="5" w:type="dxa"/>
        <w:tblCellMar>
          <w:top w:w="7" w:type="dxa"/>
          <w:left w:w="108" w:type="dxa"/>
          <w:bottom w:w="0" w:type="dxa"/>
          <w:right w:w="111" w:type="dxa"/>
        </w:tblCellMar>
        <w:tblLook w:val="04A0" w:firstRow="1" w:lastRow="0" w:firstColumn="1" w:lastColumn="0" w:noHBand="0" w:noVBand="1"/>
      </w:tblPr>
      <w:tblGrid>
        <w:gridCol w:w="3171"/>
        <w:gridCol w:w="1522"/>
        <w:gridCol w:w="1848"/>
        <w:gridCol w:w="1455"/>
        <w:gridCol w:w="1644"/>
      </w:tblGrid>
      <w:tr w:rsidR="009137AA" w:rsidRPr="009137AA" w:rsidTr="004A4F73">
        <w:trPr>
          <w:trHeight w:val="701"/>
        </w:trPr>
        <w:tc>
          <w:tcPr>
            <w:tcW w:w="3171"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Країна </w:t>
            </w:r>
            <w:r w:rsidRPr="009137AA">
              <w:rPr>
                <w:rFonts w:ascii="Times New Roman" w:eastAsia="Times New Roman" w:hAnsi="Times New Roman" w:cs="Times New Roman"/>
                <w:color w:val="000000"/>
                <w:sz w:val="20"/>
                <w:vertAlign w:val="superscript"/>
              </w:rPr>
              <w:t>1</w:t>
            </w:r>
            <w:r w:rsidRPr="009137AA">
              <w:rPr>
                <w:rFonts w:ascii="Times New Roman" w:eastAsia="Times New Roman" w:hAnsi="Times New Roman" w:cs="Times New Roman"/>
                <w:color w:val="000000"/>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Площа, км</w:t>
            </w:r>
            <w:r w:rsidRPr="009137AA">
              <w:rPr>
                <w:rFonts w:ascii="Times New Roman" w:eastAsia="Times New Roman" w:hAnsi="Times New Roman" w:cs="Times New Roman"/>
                <w:color w:val="000000"/>
                <w:sz w:val="20"/>
                <w:vertAlign w:val="superscript"/>
              </w:rPr>
              <w:t>2</w:t>
            </w:r>
            <w:r w:rsidRPr="009137AA">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Населення </w:t>
            </w:r>
          </w:p>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(01.07.2021), млн осіб </w:t>
            </w:r>
          </w:p>
        </w:tc>
        <w:tc>
          <w:tcPr>
            <w:tcW w:w="1455"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млрд дол. </w:t>
            </w:r>
          </w:p>
        </w:tc>
        <w:tc>
          <w:tcPr>
            <w:tcW w:w="1644"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на особу, тис. дол.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 Італія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301 340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62,4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2 460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40,86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 Іспанія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505 370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47,3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1 810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38,39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19. Португалія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92 090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350,21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34,04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22. Греція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131 957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10,6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307,91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28,75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39. Мальта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316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0,461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22,05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42,86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48. Андорра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468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0,085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49. Сан Марино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61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0,034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1,96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58,43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50. Гібралтар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6,5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0,030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5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 </w:t>
            </w:r>
          </w:p>
        </w:tc>
      </w:tr>
    </w:tbl>
    <w:p w:rsidR="009137AA" w:rsidRPr="009137AA" w:rsidRDefault="009137AA" w:rsidP="009137AA">
      <w:pPr>
        <w:spacing w:after="70"/>
        <w:ind w:left="703" w:right="626" w:hanging="10"/>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0"/>
          <w:vertAlign w:val="superscript"/>
          <w:lang w:eastAsia="ru-RU"/>
        </w:rPr>
        <w:t>1</w:t>
      </w:r>
      <w:r w:rsidRPr="009137AA">
        <w:rPr>
          <w:rFonts w:ascii="Times New Roman" w:eastAsia="Times New Roman" w:hAnsi="Times New Roman" w:cs="Times New Roman"/>
          <w:color w:val="000000"/>
          <w:sz w:val="20"/>
          <w:lang w:eastAsia="ru-RU"/>
        </w:rPr>
        <w:t xml:space="preserve"> Країни розміщені за розміром ВВП (ПКС). </w:t>
      </w:r>
    </w:p>
    <w:p w:rsidR="009137AA" w:rsidRPr="009137AA" w:rsidRDefault="009137AA" w:rsidP="009137AA">
      <w:pPr>
        <w:spacing w:after="0"/>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Країни Південної Європи в економічному розвитку відстають від країн Західної та Північної Європи. Одною з головних причин такого становища є існування військових режимів протягом тривалого часу у ХХ ст. Економічним лідером регіону є Італія, ВВП (ПКС) якої у 2020 р. становив 2 460 млрд дол. (12-те місце у світі). Водночас темпи зростання економіки Італії останніми роками були близькими до нульових чи навіть від’ємними. Через це Італія вже не належить до першої десятки провідних економік світу (ВВП (ПКС)) поступившись Індонезії та Мексиці. Країна є одним із засновників ЄС та входить до G7.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Економіка інших країни регіону після вступу до ЄС (Греція у 1981 р., а Іспанія та Португалія у 1986 р.) почала розвиватися більш швидкими темпами, але останніми роками також зазнала впливу кризових явищ. Це призвело до зниження позицій цих країн у загальносвітових рейтингах. За підсумками 2020 р. за рівнем ВВП (ПКС) Іспанія з показником у 1 810 млрд дол. зайняла 16-те місце у світі, Португалія – 350,21 млрд дол. (52-ге місце) та Греція – 307,91 млрд дол. (55-те місце).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За рівнем життя населення Південна Європа поступається країнам Західної та Північної Європи та середньому по ЄС рівню. Так, розмір ВВП (ПКС) на особу найвищим був у Італії (40,86 тис. дол.). Далі розмістились </w:t>
      </w:r>
      <w:r w:rsidRPr="009137AA">
        <w:rPr>
          <w:rFonts w:ascii="Times New Roman" w:eastAsia="Times New Roman" w:hAnsi="Times New Roman" w:cs="Times New Roman"/>
          <w:color w:val="000000"/>
          <w:sz w:val="28"/>
          <w:lang w:eastAsia="ru-RU"/>
        </w:rPr>
        <w:lastRenderedPageBreak/>
        <w:t xml:space="preserve">Іспанія (38,39 тис. дол.), Португалія (34,04 тис. дол.) та Греція (28,75 тис. дол.). Вищим від середнього рівня по ЄС (44,19 тис. дол.) є лише показник мікродержави Сан-Марино (58,43 тис. дол.), а у Мальти (42,86 тис. дол.) він також нижчих цього рівня.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Структура економіки країн Південної Європи майже однакова. На першому місці сфера послуг. Її частка у формуванні ВВП варіює від 73,8 % у Італії до 79,0 % у Греції. До особливостей можна віднести структуру економіки Греції, яка має низьку частку промисловості у ВВП (16,9 %), та вищу, ніж у більшості постіндустріальних країн частку сільського господарства (4,1 %).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Особливістю економіки країн регіону є високорозвинута туристична галузь. Близько половини іноземних туристів у світі подорожують Європою (51,0 %, або 744 млн з 1 460 млн у 2019 р.), з яких понад 40,0 % (303,9 млн) припадає на країни Південної Європи. За кількістю іноземних туристів, які відвідують країну у 2019 р., Іспанія займала 2-ге місце у світі (83,5 млн осіб), а Італія – 5-те місце (64,5 млн осіб). За обсягом коштів отриманих від іноземного туризму у 2019 р. Іспанія займала 2-ге місце у світі (79,7 млрд дол.), а Італія – 6-те місце (49,6 млрд дол.). Відповідні показники для Греції (31,3 млн осіб та 20,4 млрд дол.) та Португалії (24,6 млн осіб та 20,6 млрд дол.).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Промисловий сектор більш широко представлений та відомий у світі компаніями з Італії та Іспанії, насамперед відомим є виробництво автомобілів. За виробництвом автомобілів Іспанія (2 268 тис. шт. у 2020 р.) займала 2-ге місце у Європі, а Італія (777 тис. шт.) – 8-ме. Найвідоміші виробники: іспанська компанія Seat, що входить до німецького концерну Volkswagen та італійський FIAT, що володіє компаніями Alfa Romeo, Lancia, Ferrari, Maserati, Iveco.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25 найбільших ТНК світу (за доходом у 2021 р.) за даними рейтингу Global 500 американського журналу Fortune не входила жодна компанія з країн Південної Європи, а до 25 найбільших ТНК Європи входила італійські: інвестиційна компанія EXOR (37-ме місце у світі та 6-те у Європі) та банківська установа Assicurazioni Generali (73-є місце у світі та 12-те у Європі), енергетична компанія Enel (118-те місце у світі та 25-те у Європі). Загалом до 500 найбільших ТНК у світі входили 7 іспанських та 6 італійських компаній.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Отже, країни Південної Європи перейшли у постіндустріальну сферу розвитку, а їх вступ до ЄС в переважній більшості позитивно вплинув на розвиток економіки країн регіону. Провідне місце в економіці займає сфера послуг, особливо туризм. Промисловість та фінансовий сектор більш потужно представлені в Італії та Іспанії. Особливістю транспортної галузі є входження </w:t>
      </w:r>
      <w:r w:rsidRPr="009137AA">
        <w:rPr>
          <w:rFonts w:ascii="Times New Roman" w:eastAsia="Times New Roman" w:hAnsi="Times New Roman" w:cs="Times New Roman"/>
          <w:color w:val="000000"/>
          <w:sz w:val="28"/>
          <w:lang w:eastAsia="ru-RU"/>
        </w:rPr>
        <w:lastRenderedPageBreak/>
        <w:t>Греції та Мальти до десятки перших країн світу за тоннажем торгового флоту, що у значній мірі обумовлено використанням «зручного» чи «дешевого»</w:t>
      </w:r>
      <w:r w:rsidRPr="009137AA">
        <w:rPr>
          <w:rFonts w:ascii="Times New Roman" w:eastAsia="Times New Roman" w:hAnsi="Times New Roman" w:cs="Times New Roman"/>
          <w:color w:val="000000"/>
          <w:sz w:val="28"/>
          <w:vertAlign w:val="superscript"/>
          <w:lang w:eastAsia="ru-RU"/>
        </w:rPr>
        <w:footnoteReference w:id="1"/>
      </w:r>
      <w:r w:rsidRPr="009137AA">
        <w:rPr>
          <w:rFonts w:ascii="Times New Roman" w:eastAsia="Times New Roman" w:hAnsi="Times New Roman" w:cs="Times New Roman"/>
          <w:color w:val="000000"/>
          <w:sz w:val="28"/>
          <w:lang w:eastAsia="ru-RU"/>
        </w:rPr>
        <w:t xml:space="preserve"> прапору. </w:t>
      </w:r>
    </w:p>
    <w:p w:rsidR="009137AA" w:rsidRPr="009137AA" w:rsidRDefault="009137AA" w:rsidP="009137AA">
      <w:pPr>
        <w:spacing w:after="34"/>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5C5065" w:rsidP="009137AA">
      <w:pPr>
        <w:keepNext/>
        <w:keepLines/>
        <w:spacing w:after="3"/>
        <w:ind w:left="10" w:right="75" w:hanging="10"/>
        <w:jc w:val="center"/>
        <w:outlineLvl w:val="0"/>
        <w:rPr>
          <w:rFonts w:ascii="Times New Roman" w:eastAsia="Times New Roman" w:hAnsi="Times New Roman" w:cs="Times New Roman"/>
          <w:b/>
          <w:color w:val="000000"/>
          <w:sz w:val="28"/>
          <w:lang w:eastAsia="ru-RU"/>
        </w:rPr>
      </w:pPr>
      <w:bookmarkStart w:id="5" w:name="_Toc358047"/>
      <w:r>
        <w:rPr>
          <w:rFonts w:ascii="Times New Roman" w:eastAsia="Times New Roman" w:hAnsi="Times New Roman" w:cs="Times New Roman"/>
          <w:b/>
          <w:color w:val="000000"/>
          <w:sz w:val="28"/>
          <w:lang w:eastAsia="ru-RU"/>
        </w:rPr>
        <w:t>4</w:t>
      </w:r>
      <w:r w:rsidR="009137AA" w:rsidRPr="009137AA">
        <w:rPr>
          <w:rFonts w:ascii="Times New Roman" w:eastAsia="Times New Roman" w:hAnsi="Times New Roman" w:cs="Times New Roman"/>
          <w:b/>
          <w:color w:val="000000"/>
          <w:sz w:val="28"/>
          <w:lang w:eastAsia="ru-RU"/>
        </w:rPr>
        <w:t xml:space="preserve">.4. Центральна та Східна Європа </w:t>
      </w:r>
      <w:bookmarkEnd w:id="5"/>
    </w:p>
    <w:p w:rsidR="009137AA" w:rsidRPr="009137AA" w:rsidRDefault="009137AA" w:rsidP="009137AA">
      <w:pPr>
        <w:spacing w:after="1" w:line="257" w:lineRule="auto"/>
        <w:ind w:left="10" w:right="77" w:hanging="10"/>
        <w:jc w:val="right"/>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східного регіону Європи належать 20 країн (Албанія, Білорусь, </w:t>
      </w:r>
    </w:p>
    <w:p w:rsidR="009137AA" w:rsidRPr="009137AA" w:rsidRDefault="009137AA" w:rsidP="009137AA">
      <w:pPr>
        <w:spacing w:after="5" w:line="268" w:lineRule="auto"/>
        <w:ind w:left="9" w:right="67"/>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Болгарія, Боснія і Герцеговина, Естонія, Латвія, Литва, Македонія, Молдова, Польща, Росія, Румунія, Сербія, Словаччина, Словенія, Угорщина, Україна, Хорватія, Чехія, Чорногорія) та Косово, що вважається частково визнаною країною (табл. 2.18). </w:t>
      </w:r>
    </w:p>
    <w:p w:rsidR="009137AA" w:rsidRPr="009137AA" w:rsidRDefault="009137AA" w:rsidP="009137AA">
      <w:pPr>
        <w:spacing w:after="25"/>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9" w:lineRule="auto"/>
        <w:ind w:left="13" w:right="3" w:hanging="10"/>
        <w:jc w:val="center"/>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Таблиця 2.18. Порівняльна характеристика країн Центральної та Східної Європи, 2020 р. (країни розміщені за розміром ВВП (ПКС)) </w:t>
      </w:r>
    </w:p>
    <w:tbl>
      <w:tblPr>
        <w:tblStyle w:val="TableGrid"/>
        <w:tblW w:w="9640" w:type="dxa"/>
        <w:tblInd w:w="5" w:type="dxa"/>
        <w:tblCellMar>
          <w:top w:w="7" w:type="dxa"/>
          <w:left w:w="108" w:type="dxa"/>
          <w:bottom w:w="0" w:type="dxa"/>
          <w:right w:w="111" w:type="dxa"/>
        </w:tblCellMar>
        <w:tblLook w:val="04A0" w:firstRow="1" w:lastRow="0" w:firstColumn="1" w:lastColumn="0" w:noHBand="0" w:noVBand="1"/>
      </w:tblPr>
      <w:tblGrid>
        <w:gridCol w:w="3171"/>
        <w:gridCol w:w="1522"/>
        <w:gridCol w:w="1848"/>
        <w:gridCol w:w="1455"/>
        <w:gridCol w:w="1644"/>
      </w:tblGrid>
      <w:tr w:rsidR="009137AA" w:rsidRPr="009137AA" w:rsidTr="004A4F73">
        <w:trPr>
          <w:trHeight w:val="698"/>
        </w:trPr>
        <w:tc>
          <w:tcPr>
            <w:tcW w:w="3171"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Країна </w:t>
            </w:r>
            <w:r w:rsidRPr="009137AA">
              <w:rPr>
                <w:rFonts w:ascii="Times New Roman" w:eastAsia="Times New Roman" w:hAnsi="Times New Roman" w:cs="Times New Roman"/>
                <w:color w:val="000000"/>
                <w:sz w:val="20"/>
                <w:vertAlign w:val="superscript"/>
              </w:rPr>
              <w:t>1</w:t>
            </w:r>
            <w:r w:rsidRPr="009137AA">
              <w:rPr>
                <w:rFonts w:ascii="Times New Roman" w:eastAsia="Times New Roman" w:hAnsi="Times New Roman" w:cs="Times New Roman"/>
                <w:color w:val="000000"/>
                <w:sz w:val="20"/>
              </w:rPr>
              <w:t xml:space="preserve"> </w:t>
            </w:r>
          </w:p>
        </w:tc>
        <w:tc>
          <w:tcPr>
            <w:tcW w:w="1522"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Площа, км</w:t>
            </w:r>
            <w:r w:rsidRPr="009137AA">
              <w:rPr>
                <w:rFonts w:ascii="Times New Roman" w:eastAsia="Times New Roman" w:hAnsi="Times New Roman" w:cs="Times New Roman"/>
                <w:color w:val="000000"/>
                <w:sz w:val="20"/>
                <w:vertAlign w:val="superscript"/>
              </w:rPr>
              <w:t>2</w:t>
            </w:r>
            <w:r w:rsidRPr="009137AA">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Населення </w:t>
            </w:r>
          </w:p>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(01.07.2021), млн осіб </w:t>
            </w:r>
          </w:p>
        </w:tc>
        <w:tc>
          <w:tcPr>
            <w:tcW w:w="1455"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млрд дол. </w:t>
            </w:r>
          </w:p>
        </w:tc>
        <w:tc>
          <w:tcPr>
            <w:tcW w:w="1644" w:type="dxa"/>
            <w:tcBorders>
              <w:top w:val="single" w:sz="4" w:space="0" w:color="000000"/>
              <w:left w:val="single" w:sz="4" w:space="0" w:color="000000"/>
              <w:bottom w:val="single" w:sz="4" w:space="0" w:color="000000"/>
              <w:right w:val="single" w:sz="4" w:space="0" w:color="000000"/>
            </w:tcBorders>
            <w:vAlign w:val="center"/>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ВВП (ПКС) на особу, тис. дол.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 Росія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17 098 242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19"/>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142,3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4 100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27,90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 Польща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312 685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38,2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1 290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34,10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 Румунія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238 391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21,2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589,71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30,53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13. Україна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3"/>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603 550 </w:t>
            </w:r>
            <w:r w:rsidRPr="009137AA">
              <w:rPr>
                <w:rFonts w:ascii="Times New Roman" w:eastAsia="Times New Roman" w:hAnsi="Times New Roman" w:cs="Times New Roman"/>
                <w:color w:val="000000"/>
                <w:sz w:val="20"/>
                <w:vertAlign w:val="superscript"/>
              </w:rPr>
              <w:t>2</w:t>
            </w:r>
            <w:r w:rsidRPr="009137AA">
              <w:rPr>
                <w:rFonts w:ascii="Times New Roman" w:eastAsia="Times New Roman" w:hAnsi="Times New Roman" w:cs="Times New Roman"/>
                <w:color w:val="000000"/>
                <w:sz w:val="20"/>
              </w:rPr>
              <w:t xml:space="preserve">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43,7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543,83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13,11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17. Чехія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78 867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434,36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40,62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21. Угорщина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93 028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9,7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322,70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33,03 </w:t>
            </w:r>
          </w:p>
        </w:tc>
      </w:tr>
      <w:tr w:rsidR="009137AA" w:rsidRPr="009137AA" w:rsidTr="004A4F73">
        <w:trPr>
          <w:trHeight w:val="241"/>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24. Білорусь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207 600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9,4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189,92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20,19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25. Словаччина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49 035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5,4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178,53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32,71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26. Болгарія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110 879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164,62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23,82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27. Сербія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77 474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7,0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132,79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19,15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28. Хорватія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56 594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112,12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27,72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29. Литва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65 300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108,56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38,82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30. Словенія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20 273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81,33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38,81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32. Латвія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64 589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60,07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31,51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33. Естонія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45 228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1,2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50,16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37,75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34. Боснія та Герцеговина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51 197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3,8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49,34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15,05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35. Албанія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28 748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3,1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40,74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14,22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37. Північна Македонія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25 713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48"/>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34,70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16,71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38. Молдова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33 851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3,3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33,74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12,81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41. Косово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10 887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1,9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19,91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11,02 </w:t>
            </w:r>
          </w:p>
        </w:tc>
      </w:tr>
      <w:tr w:rsidR="009137AA" w:rsidRPr="009137AA" w:rsidTr="004A4F73">
        <w:trPr>
          <w:trHeight w:val="240"/>
        </w:trPr>
        <w:tc>
          <w:tcPr>
            <w:tcW w:w="3171"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42. Чорногорія </w:t>
            </w:r>
          </w:p>
        </w:tc>
        <w:tc>
          <w:tcPr>
            <w:tcW w:w="1522"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13 812 </w:t>
            </w:r>
          </w:p>
        </w:tc>
        <w:tc>
          <w:tcPr>
            <w:tcW w:w="1848"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0"/>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000000"/>
                <w:sz w:val="20"/>
              </w:rPr>
              <w:t xml:space="preserve">0,607 </w:t>
            </w:r>
          </w:p>
        </w:tc>
        <w:tc>
          <w:tcPr>
            <w:tcW w:w="1455"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right="2"/>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11,99 </w:t>
            </w:r>
          </w:p>
        </w:tc>
        <w:tc>
          <w:tcPr>
            <w:tcW w:w="1644" w:type="dxa"/>
            <w:tcBorders>
              <w:top w:val="single" w:sz="4" w:space="0" w:color="000000"/>
              <w:left w:val="single" w:sz="4" w:space="0" w:color="000000"/>
              <w:bottom w:val="single" w:sz="4" w:space="0" w:color="000000"/>
              <w:right w:val="single" w:sz="4" w:space="0" w:color="000000"/>
            </w:tcBorders>
          </w:tcPr>
          <w:p w:rsidR="009137AA" w:rsidRPr="009137AA" w:rsidRDefault="009137AA" w:rsidP="009137AA">
            <w:pPr>
              <w:ind w:left="1"/>
              <w:jc w:val="center"/>
              <w:rPr>
                <w:rFonts w:ascii="Times New Roman" w:eastAsia="Times New Roman" w:hAnsi="Times New Roman" w:cs="Times New Roman"/>
                <w:color w:val="000000"/>
                <w:sz w:val="28"/>
              </w:rPr>
            </w:pPr>
            <w:r w:rsidRPr="009137AA">
              <w:rPr>
                <w:rFonts w:ascii="Times New Roman" w:eastAsia="Times New Roman" w:hAnsi="Times New Roman" w:cs="Times New Roman"/>
                <w:color w:val="202122"/>
                <w:sz w:val="20"/>
              </w:rPr>
              <w:t xml:space="preserve">19,25 </w:t>
            </w:r>
          </w:p>
        </w:tc>
      </w:tr>
    </w:tbl>
    <w:p w:rsidR="009137AA" w:rsidRPr="009137AA" w:rsidRDefault="009137AA" w:rsidP="009137AA">
      <w:pPr>
        <w:spacing w:after="70"/>
        <w:ind w:left="703" w:right="1872" w:hanging="10"/>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0"/>
          <w:vertAlign w:val="superscript"/>
          <w:lang w:eastAsia="ru-RU"/>
        </w:rPr>
        <w:t>1</w:t>
      </w:r>
      <w:r w:rsidRPr="009137AA">
        <w:rPr>
          <w:rFonts w:ascii="Times New Roman" w:eastAsia="Times New Roman" w:hAnsi="Times New Roman" w:cs="Times New Roman"/>
          <w:color w:val="000000"/>
          <w:sz w:val="20"/>
          <w:lang w:eastAsia="ru-RU"/>
        </w:rPr>
        <w:t xml:space="preserve"> Країни розміщені за розміром ВВП (ПКС). </w:t>
      </w:r>
      <w:r w:rsidRPr="009137AA">
        <w:rPr>
          <w:rFonts w:ascii="Times New Roman" w:eastAsia="Times New Roman" w:hAnsi="Times New Roman" w:cs="Times New Roman"/>
          <w:color w:val="000000"/>
          <w:sz w:val="20"/>
          <w:vertAlign w:val="superscript"/>
          <w:lang w:eastAsia="ru-RU"/>
        </w:rPr>
        <w:t>2</w:t>
      </w:r>
      <w:r w:rsidRPr="009137AA">
        <w:rPr>
          <w:rFonts w:ascii="Times New Roman" w:eastAsia="Times New Roman" w:hAnsi="Times New Roman" w:cs="Times New Roman"/>
          <w:color w:val="000000"/>
          <w:sz w:val="20"/>
          <w:lang w:eastAsia="ru-RU"/>
        </w:rPr>
        <w:t xml:space="preserve"> Приблизно 43 133 км</w:t>
      </w:r>
      <w:r w:rsidRPr="009137AA">
        <w:rPr>
          <w:rFonts w:ascii="Times New Roman" w:eastAsia="Times New Roman" w:hAnsi="Times New Roman" w:cs="Times New Roman"/>
          <w:color w:val="000000"/>
          <w:sz w:val="20"/>
          <w:vertAlign w:val="superscript"/>
          <w:lang w:eastAsia="ru-RU"/>
        </w:rPr>
        <w:t>2</w:t>
      </w:r>
      <w:r w:rsidRPr="009137AA">
        <w:rPr>
          <w:rFonts w:ascii="Times New Roman" w:eastAsia="Times New Roman" w:hAnsi="Times New Roman" w:cs="Times New Roman"/>
          <w:color w:val="000000"/>
          <w:sz w:val="20"/>
          <w:lang w:eastAsia="ru-RU"/>
        </w:rPr>
        <w:t xml:space="preserve">, або близько 7,1 % території України окуповано Росією. </w:t>
      </w:r>
    </w:p>
    <w:p w:rsidR="009137AA" w:rsidRPr="009137AA" w:rsidRDefault="009137AA" w:rsidP="009137AA">
      <w:pPr>
        <w:spacing w:after="25"/>
        <w:ind w:left="708"/>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Після Другої світової війни в усіх країнах Східної та Південно-Східної Європи було встановлено адміністративно-командну систему. Поступово (у межах цієї системи) вихідну радянську модель змінили національні моделі (югославська, угорська, польська), що уможливлювали певний розвиток елементів ринкової економіки: переважання одноосібних селянських </w:t>
      </w:r>
      <w:r w:rsidRPr="009137AA">
        <w:rPr>
          <w:rFonts w:ascii="Times New Roman" w:eastAsia="Times New Roman" w:hAnsi="Times New Roman" w:cs="Times New Roman"/>
          <w:color w:val="000000"/>
          <w:sz w:val="28"/>
          <w:lang w:eastAsia="ru-RU"/>
        </w:rPr>
        <w:lastRenderedPageBreak/>
        <w:t xml:space="preserve">господарств, збереження приватного сектору в дрібному виробництві та роздрібній торгівлі, активний розвиток зовнішньоекономічних зв’язків із країнами з ринковою економікою. Водночас у деяких країнах (Албанія, Румунія) до 1989–1990 рр. зберігався господарський механізм, властивий радянській моделі. Після падіння або трансформації комуністичних режимів у 1989–1991 рр. у країнах регіону відбувався перехід від адміністративнокомандної до ринкової системи. При цьому важливу роль відігравали такі умови, як рівень економічного розвитку, наявність елементів ринкової економіки до встановлення і в період панування адміністративно-командної системи, переважаючий менталітет населення, відкритість економіки стосовно розвинутих країн.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Створення ринкових інститутів у країнах регіону здійснювали внаслідок поєднання еволюційного та радикального (шокового) варіантів перетворень. Переважно еволюційний характер реформ можна було спостерігати у Болгарії, Угорщині, Румунії, Словаччині, Словенії та Хорватії. Радикальні методи реформування були застосовані в Польщі і трохи менше у Чехії. Найвищих результатів у створенні основ ринкової економіки на початку XXI ст. було досягнуто в центральноєвропейських країнах – Угорщині, Польщі, Словенії, Чехії. Повільніше та з великими труднощами відбувається перехід до ринку в Росії, Болгарії, Румунії, Білорусі, країнах колишньої Югославії та Албанії. На соціально-економічному стані Сербії і Чорногорії позначилися міжнародні економічні санкції та наслідки військових дій, спричинені релігійно-етнічними конфліктами.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До найбільш успішних можна віднести країни регіону, які приєднались до ЄС 1 травня 2004 р. Це країни Балтії (Естонія, Латвія, Литва) та країни Центральної Європи (Польща, Словаччина, Словенія, Угорщина та Чехія). Серед цієї групи найвищий рівень життя населення спостерігають у Чехії (ВВП (ПКС) на особу, у 2020 р. становив 40,62тис. дол.), Литві (38,82 тис. дол.), Словенії (38,81 тис. дол.), Естонія (37,75 тис. дол.) та Польщі (34,1 тис. дол.).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Інші країни Центральної Європи за темпами реформування економіки та рівнем життя населення поступаються зазначеним вище країнам. Так, Албанія і Боснія та Герцеговина належать до найбідніших країн Європи за показником ВВП (ПКС) на особу: 14,22 та 15,05 тис. дол. відповідно. Болгарія та Румунія, що вступили до ЄС 1 січня 2007 р., мають більш високі темпи розвитку економіки за рахунок іноземних інвестицій. Серед найбільших інвестиційних проектів у цих країнах можна відзначити купівлю компанією Ford автомобільного заводу Automobile Craiova, який після банкрутства компанії Daewoo, контролював уряд Румунії. </w:t>
      </w:r>
    </w:p>
    <w:p w:rsidR="009137AA" w:rsidRPr="009137AA" w:rsidRDefault="009137AA" w:rsidP="009137AA">
      <w:pPr>
        <w:spacing w:after="5" w:line="268" w:lineRule="auto"/>
        <w:ind w:left="9" w:right="67" w:firstLine="698"/>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lastRenderedPageBreak/>
        <w:t xml:space="preserve">Серед країн Східної Європи найпотужнішу економіку має Російська Федерація. За нею йдуть Україна, Білорусь та Молдова. За рівнем життя населення Росія також утримує першість. Валовий внутрішній, продукт (ПКС) на особу у Російській Федерації становить 27,9 тис. дол. що перевищує показник деяких нових членів ЄС, зокрема уже згаданої Болгарії (23,82 тис. дол.), але поступається Румунії (30,53 тис. дол.) та Хорватії (27,72 тис. дол.). Україна та </w:t>
      </w:r>
    </w:p>
    <w:p w:rsidR="009137AA" w:rsidRPr="009137AA" w:rsidRDefault="009137AA" w:rsidP="009137AA">
      <w:pPr>
        <w:spacing w:after="5" w:line="268" w:lineRule="auto"/>
        <w:ind w:left="9" w:right="67"/>
        <w:jc w:val="both"/>
        <w:rPr>
          <w:rFonts w:ascii="Times New Roman" w:eastAsia="Times New Roman" w:hAnsi="Times New Roman" w:cs="Times New Roman"/>
          <w:color w:val="000000"/>
          <w:sz w:val="28"/>
          <w:lang w:eastAsia="ru-RU"/>
        </w:rPr>
      </w:pPr>
      <w:r w:rsidRPr="009137AA">
        <w:rPr>
          <w:rFonts w:ascii="Times New Roman" w:eastAsia="Times New Roman" w:hAnsi="Times New Roman" w:cs="Times New Roman"/>
          <w:color w:val="000000"/>
          <w:sz w:val="28"/>
          <w:lang w:eastAsia="ru-RU"/>
        </w:rPr>
        <w:t xml:space="preserve">Молдова є найбіднішими країнами Європи: ВВП (ПКС) на особу становить 13,11 тис. дол. та 12,81 тис. дол., відповідно. </w:t>
      </w:r>
    </w:p>
    <w:p w:rsidR="00510E85" w:rsidRDefault="00510E85">
      <w:bookmarkStart w:id="6" w:name="_GoBack"/>
      <w:bookmarkEnd w:id="6"/>
    </w:p>
    <w:sectPr w:rsidR="00510E8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EF2" w:rsidRDefault="00540EF2" w:rsidP="009137AA">
      <w:pPr>
        <w:spacing w:after="0" w:line="240" w:lineRule="auto"/>
      </w:pPr>
      <w:r>
        <w:separator/>
      </w:r>
    </w:p>
  </w:endnote>
  <w:endnote w:type="continuationSeparator" w:id="0">
    <w:p w:rsidR="00540EF2" w:rsidRDefault="00540EF2" w:rsidP="0091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EF2" w:rsidRDefault="00540EF2" w:rsidP="009137AA">
      <w:pPr>
        <w:spacing w:after="0" w:line="240" w:lineRule="auto"/>
      </w:pPr>
      <w:r>
        <w:separator/>
      </w:r>
    </w:p>
  </w:footnote>
  <w:footnote w:type="continuationSeparator" w:id="0">
    <w:p w:rsidR="00540EF2" w:rsidRDefault="00540EF2" w:rsidP="009137AA">
      <w:pPr>
        <w:spacing w:after="0" w:line="240" w:lineRule="auto"/>
      </w:pPr>
      <w:r>
        <w:continuationSeparator/>
      </w:r>
    </w:p>
  </w:footnote>
  <w:footnote w:id="1">
    <w:p w:rsidR="009137AA" w:rsidRDefault="009137AA" w:rsidP="009137AA">
      <w:pPr>
        <w:pStyle w:val="footnotedescription"/>
        <w:spacing w:line="299" w:lineRule="auto"/>
        <w:ind w:left="0" w:firstLine="708"/>
        <w:jc w:val="both"/>
      </w:pPr>
      <w:r>
        <w:rPr>
          <w:rStyle w:val="footnotemark"/>
        </w:rPr>
        <w:footnoteRef/>
      </w:r>
      <w:r>
        <w:t xml:space="preserve"> «Зручний» чи «дешевий» прапор. Країни надають можливість спрощеної реєстрації суден у своїх портах, запроваджують низькі портові збори, набирають у команди дешеву робочу силу з-за кордону.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96BC1"/>
    <w:multiLevelType w:val="hybridMultilevel"/>
    <w:tmpl w:val="34C4C1FE"/>
    <w:lvl w:ilvl="0" w:tplc="CCAA455C">
      <w:start w:val="1"/>
      <w:numFmt w:val="bullet"/>
      <w:lvlText w:val="–"/>
      <w:lvlJc w:val="left"/>
      <w:pPr>
        <w:ind w:left="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A0638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88E90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16760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F2C9B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8CE3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EA35D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AAA5E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CE0A4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AA"/>
    <w:rsid w:val="00510E85"/>
    <w:rsid w:val="00540EF2"/>
    <w:rsid w:val="005C5065"/>
    <w:rsid w:val="00913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EDFB"/>
  <w15:chartTrackingRefBased/>
  <w15:docId w15:val="{2BC3910C-DD65-41EA-A576-430C8F3D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37AA"/>
    <w:pPr>
      <w:spacing w:after="0"/>
      <w:ind w:left="341"/>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37AA"/>
    <w:rPr>
      <w:rFonts w:ascii="Times New Roman" w:eastAsia="Times New Roman" w:hAnsi="Times New Roman" w:cs="Times New Roman"/>
      <w:color w:val="000000"/>
      <w:sz w:val="20"/>
      <w:lang w:eastAsia="ru-RU"/>
    </w:rPr>
  </w:style>
  <w:style w:type="character" w:customStyle="1" w:styleId="footnotemark">
    <w:name w:val="footnote mark"/>
    <w:hidden/>
    <w:rsid w:val="009137AA"/>
    <w:rPr>
      <w:rFonts w:ascii="Times New Roman" w:eastAsia="Times New Roman" w:hAnsi="Times New Roman" w:cs="Times New Roman"/>
      <w:color w:val="000000"/>
      <w:sz w:val="20"/>
      <w:vertAlign w:val="superscript"/>
    </w:rPr>
  </w:style>
  <w:style w:type="table" w:customStyle="1" w:styleId="TableGrid">
    <w:name w:val="TableGrid"/>
    <w:rsid w:val="009137AA"/>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2022-09-04T16:31:00Z</dcterms:created>
  <dcterms:modified xsi:type="dcterms:W3CDTF">2022-09-04T16:38:00Z</dcterms:modified>
</cp:coreProperties>
</file>