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57" w:rsidRPr="00CE0757" w:rsidRDefault="00CE0757" w:rsidP="00CE0757">
      <w:pPr>
        <w:keepNext/>
        <w:keepLines/>
        <w:spacing w:after="3"/>
        <w:ind w:left="10" w:right="72" w:hanging="10"/>
        <w:jc w:val="center"/>
        <w:outlineLvl w:val="0"/>
        <w:rPr>
          <w:rFonts w:ascii="Times New Roman" w:eastAsia="Times New Roman" w:hAnsi="Times New Roman" w:cs="Times New Roman"/>
          <w:b/>
          <w:color w:val="000000"/>
          <w:sz w:val="28"/>
          <w:lang w:eastAsia="ru-RU"/>
        </w:rPr>
      </w:pPr>
      <w:bookmarkStart w:id="0" w:name="_Toc358063"/>
      <w:r>
        <w:rPr>
          <w:rFonts w:ascii="Times New Roman" w:eastAsia="Times New Roman" w:hAnsi="Times New Roman" w:cs="Times New Roman"/>
          <w:b/>
          <w:color w:val="000000"/>
          <w:sz w:val="28"/>
          <w:lang w:val="uk-UA" w:eastAsia="ru-RU"/>
        </w:rPr>
        <w:t>Тема 7</w:t>
      </w:r>
      <w:r w:rsidRPr="00CE0757">
        <w:rPr>
          <w:rFonts w:ascii="Times New Roman" w:eastAsia="Times New Roman" w:hAnsi="Times New Roman" w:cs="Times New Roman"/>
          <w:b/>
          <w:color w:val="000000"/>
          <w:sz w:val="28"/>
          <w:lang w:eastAsia="ru-RU"/>
        </w:rPr>
        <w:t xml:space="preserve"> Економіка країн Північної та Південної Америки (Північної та Латинської Америки) </w:t>
      </w:r>
      <w:bookmarkEnd w:id="0"/>
    </w:p>
    <w:p w:rsidR="00CE0757" w:rsidRPr="00CE0757" w:rsidRDefault="00CE0757" w:rsidP="00CE0757">
      <w:pPr>
        <w:spacing w:after="19"/>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b/>
          <w:color w:val="000000"/>
          <w:sz w:val="28"/>
          <w:lang w:eastAsia="ru-RU"/>
        </w:rPr>
        <w:t xml:space="preserve"> </w:t>
      </w:r>
    </w:p>
    <w:p w:rsidR="00CE0757" w:rsidRPr="00CE0757" w:rsidRDefault="00CE0757" w:rsidP="00CE0757">
      <w:pPr>
        <w:keepNext/>
        <w:keepLines/>
        <w:spacing w:after="5" w:line="268" w:lineRule="auto"/>
        <w:ind w:left="9" w:right="67"/>
        <w:jc w:val="both"/>
        <w:outlineLvl w:val="0"/>
        <w:rPr>
          <w:rFonts w:ascii="Times New Roman" w:eastAsia="Times New Roman" w:hAnsi="Times New Roman" w:cs="Times New Roman"/>
          <w:b/>
          <w:color w:val="000000"/>
          <w:sz w:val="28"/>
          <w:lang w:eastAsia="ru-RU"/>
        </w:rPr>
      </w:pPr>
      <w:bookmarkStart w:id="1" w:name="_Toc358064"/>
      <w:r>
        <w:rPr>
          <w:rFonts w:ascii="Times New Roman" w:eastAsia="Times New Roman" w:hAnsi="Times New Roman" w:cs="Times New Roman"/>
          <w:color w:val="000000"/>
          <w:sz w:val="28"/>
          <w:lang w:eastAsia="ru-RU"/>
        </w:rPr>
        <w:t>7</w:t>
      </w:r>
      <w:r w:rsidRPr="00CE0757">
        <w:rPr>
          <w:rFonts w:ascii="Times New Roman" w:eastAsia="Times New Roman" w:hAnsi="Times New Roman" w:cs="Times New Roman"/>
          <w:color w:val="000000"/>
          <w:sz w:val="28"/>
          <w:lang w:eastAsia="ru-RU"/>
        </w:rPr>
        <w:t xml:space="preserve">.1. Загальна характеристики країн Північної та Південної Америки </w:t>
      </w:r>
      <w:bookmarkEnd w:id="1"/>
    </w:p>
    <w:p w:rsidR="00CE0757" w:rsidRPr="00CE0757" w:rsidRDefault="00CE0757" w:rsidP="00CE0757">
      <w:pPr>
        <w:keepNext/>
        <w:keepLines/>
        <w:spacing w:after="5" w:line="268" w:lineRule="auto"/>
        <w:ind w:left="9" w:right="67"/>
        <w:jc w:val="both"/>
        <w:outlineLvl w:val="0"/>
        <w:rPr>
          <w:rFonts w:ascii="Times New Roman" w:eastAsia="Times New Roman" w:hAnsi="Times New Roman" w:cs="Times New Roman"/>
          <w:b/>
          <w:color w:val="000000"/>
          <w:sz w:val="28"/>
          <w:lang w:eastAsia="ru-RU"/>
        </w:rPr>
      </w:pPr>
      <w:bookmarkStart w:id="2" w:name="_Toc358065"/>
      <w:r>
        <w:rPr>
          <w:rFonts w:ascii="Times New Roman" w:eastAsia="Times New Roman" w:hAnsi="Times New Roman" w:cs="Times New Roman"/>
          <w:color w:val="000000"/>
          <w:sz w:val="28"/>
          <w:lang w:eastAsia="ru-RU"/>
        </w:rPr>
        <w:t>7</w:t>
      </w:r>
      <w:r w:rsidRPr="00CE0757">
        <w:rPr>
          <w:rFonts w:ascii="Times New Roman" w:eastAsia="Times New Roman" w:hAnsi="Times New Roman" w:cs="Times New Roman"/>
          <w:color w:val="000000"/>
          <w:sz w:val="28"/>
          <w:lang w:eastAsia="ru-RU"/>
        </w:rPr>
        <w:t xml:space="preserve">.2. Регіональні особливості та моделі соціально-економічного розвитку </w:t>
      </w:r>
      <w:bookmarkEnd w:id="2"/>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Pr="00CE0757">
        <w:rPr>
          <w:rFonts w:ascii="Times New Roman" w:eastAsia="Times New Roman" w:hAnsi="Times New Roman" w:cs="Times New Roman"/>
          <w:color w:val="000000"/>
          <w:sz w:val="28"/>
          <w:lang w:eastAsia="ru-RU"/>
        </w:rPr>
        <w:t xml:space="preserve">.3. Інтеграційні процеси в країнах Північної та Південної Америки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Pr="00CE0757">
        <w:rPr>
          <w:rFonts w:ascii="Times New Roman" w:eastAsia="Times New Roman" w:hAnsi="Times New Roman" w:cs="Times New Roman"/>
          <w:color w:val="000000"/>
          <w:sz w:val="28"/>
          <w:lang w:eastAsia="ru-RU"/>
        </w:rPr>
        <w:t xml:space="preserve">.4. Демографічна ситуація у країнах Північної та Південної Америки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Pr="00CE0757">
        <w:rPr>
          <w:rFonts w:ascii="Times New Roman" w:eastAsia="Times New Roman" w:hAnsi="Times New Roman" w:cs="Times New Roman"/>
          <w:color w:val="000000"/>
          <w:sz w:val="28"/>
          <w:lang w:eastAsia="ru-RU"/>
        </w:rPr>
        <w:t xml:space="preserve">.5. Порівняльна характеристика країн Північної та Південної Америки </w:t>
      </w:r>
    </w:p>
    <w:p w:rsidR="00CE0757" w:rsidRPr="00CE0757" w:rsidRDefault="00CE0757" w:rsidP="00CE0757">
      <w:pPr>
        <w:spacing w:after="33"/>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31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7</w:t>
      </w:r>
      <w:r w:rsidRPr="00CE0757">
        <w:rPr>
          <w:rFonts w:ascii="Times New Roman" w:eastAsia="Times New Roman" w:hAnsi="Times New Roman" w:cs="Times New Roman"/>
          <w:b/>
          <w:color w:val="000000"/>
          <w:sz w:val="28"/>
          <w:lang w:eastAsia="ru-RU"/>
        </w:rPr>
        <w:t xml:space="preserve">.1. Загальна характеристика країн Північної та Південної Америки </w:t>
      </w:r>
      <w:r w:rsidRPr="00CE0757">
        <w:rPr>
          <w:rFonts w:ascii="Times New Roman" w:eastAsia="Times New Roman" w:hAnsi="Times New Roman" w:cs="Times New Roman"/>
          <w:color w:val="000000"/>
          <w:sz w:val="28"/>
          <w:lang w:eastAsia="ru-RU"/>
        </w:rPr>
        <w:t xml:space="preserve">Америка, частина світу у Західній півкулі між Тихим і Атлантичним Океанами; складається з 2-х континентів – Північна та Південна Америка. </w:t>
      </w:r>
    </w:p>
    <w:p w:rsidR="00CE0757" w:rsidRPr="00CE0757" w:rsidRDefault="00CE0757" w:rsidP="00CE0757">
      <w:pPr>
        <w:spacing w:after="50"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Розташовано 35 держав і 16 залежних територій. Площа складає 42,5 млн.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(28,2% від загальної площі суші земної поверхні), чисельність населення – 1 022,8 млн. осіб (13,1% від загальної чисельності населення на земній кулі (7 794,8 млн. осіб).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Америка отримала свою назву на честь флорентійського мореплавця Амеріго Веспуччі (9 березня 1451 – 22 лютого 1512), що здійснив три експедиції до берегів Південної Америки (1499-1500, 1501-1502, 1503-1504). Він вперше висловив думку, що ці землі є новою частиною світу, яку лотарінгський картограф М.Вальдземюлер назвав (1507) на його честь Америкою.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Згідно з історичними джерелами, люди прибули у Північну Америку з Азії ще 30 тис. років тому, адже на місці Берингової протоки колись був суходіл. За 8 тис. років до н. є. вони розселилися по всій території. Можливо, що у VIII-IX ст. в Америці побували вікінги, але офіційно вважається, що відкрив Америку Христофор Колумб у 1492 р. </w:t>
      </w:r>
    </w:p>
    <w:p w:rsidR="00CE0757" w:rsidRPr="00CE0757" w:rsidRDefault="00CE0757" w:rsidP="00CE0757">
      <w:pPr>
        <w:spacing w:after="33"/>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410CEF" w:rsidP="00CE0757">
      <w:pPr>
        <w:spacing w:after="0" w:line="270" w:lineRule="auto"/>
        <w:ind w:left="111" w:hanging="10"/>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7</w:t>
      </w:r>
      <w:r w:rsidR="00CE0757" w:rsidRPr="00CE0757">
        <w:rPr>
          <w:rFonts w:ascii="Times New Roman" w:eastAsia="Times New Roman" w:hAnsi="Times New Roman" w:cs="Times New Roman"/>
          <w:b/>
          <w:color w:val="000000"/>
          <w:sz w:val="28"/>
          <w:lang w:eastAsia="ru-RU"/>
        </w:rPr>
        <w:t xml:space="preserve">.2. Регіональні особливості та моделі соціально-економічного розвитку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Крім поділу Америки на Північну та Південну досить часто їх поділяють на Північну (США, Канада) та Латинську, яка в свою чергу поділяється на Мексику, Центральну та Південну Америку. Якщо перший варіант поділу це поділ на два окремі материки по Панамському перешийку, то другий буде за етнічним складом та мовою. Так у США державна мова англійська, в Канаді – англійська та французька, а у країнах Латиської Америки майже скрізь іспанська, у Бразилії – португальська. Виключенням є Беліз та Гаяна (англійська), Суринам (нідерландська), Гвіана (французька) та деякі острівні держави і залежні території.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Населення Північної Америки сформувалося внаслідок імміграційних процесів і представляє три великі раси. Корінне населення (індіанці, ескімоси) </w:t>
      </w:r>
      <w:r w:rsidRPr="00CE0757">
        <w:rPr>
          <w:rFonts w:ascii="Times New Roman" w:eastAsia="Times New Roman" w:hAnsi="Times New Roman" w:cs="Times New Roman"/>
          <w:color w:val="000000"/>
          <w:sz w:val="28"/>
          <w:lang w:eastAsia="ru-RU"/>
        </w:rPr>
        <w:lastRenderedPageBreak/>
        <w:t>і деякі переселенці з Азії належать до монголоїдної раси; нащадки вихідців з Європи – до європеоїдної раси; вихідці з Африки є негроїдами</w:t>
      </w:r>
      <w:r w:rsidRPr="00CE0757">
        <w:rPr>
          <w:rFonts w:ascii="Times New Roman" w:eastAsia="Times New Roman" w:hAnsi="Times New Roman" w:cs="Times New Roman"/>
          <w:b/>
          <w:color w:val="000000"/>
          <w:sz w:val="28"/>
          <w:lang w:eastAsia="ru-RU"/>
        </w:rPr>
        <w:t xml:space="preserve">. </w:t>
      </w:r>
      <w:r w:rsidRPr="00CE0757">
        <w:rPr>
          <w:rFonts w:ascii="Times New Roman" w:eastAsia="Times New Roman" w:hAnsi="Times New Roman" w:cs="Times New Roman"/>
          <w:color w:val="000000"/>
          <w:sz w:val="28"/>
          <w:lang w:eastAsia="ru-RU"/>
        </w:rPr>
        <w:t xml:space="preserve">Також на континенті проживають змішані расові групи – метиси, мулати тощо.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Більшість мешканців регіону – нащадки іммігрантів з Європи, меншість – з Азії, що переселялися сюди протягом XVI-XIX ст., а також нащадки невільників-негрів, що були завезені до Америки у XVI-XVIII ст. Лише невелику групу утворюють аборигенні народи – індіанці, ескімоси, алеути.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США і Канада належать до найрозвинутіших країн світу і є учасницями G7. Їх економіка представлена різноманітними галузями машинобудування, потужним видобувним комплексом, високо розвинутим ПЕК, хімічною промисловістю, лісовиробничим комплексом, галузями легкої і харчової промисловості. У сільському господарстві важливу роль відіграють вирощування зернових і деяких технічних культур. Країни регіону є найбільшими у світі постачальниками різноманітних послуг, мають ультрасучасну невиробничу сферу і туристично-рекреаційний комплекс.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Латиноамериканські країни єднає спільність історичної долі і соціальноекономічного розвитку. Усі вони – колишні колонії європейських держав. Більшість іспанських колоній стали незалежними у визвольній війні 1810-1825 рр., а деякі – після Другої світової війни. Однак нині понад 15 політикотериторіальних утворень залежні від США (Пуерто-Ріко, Віргінські острови), Великої Британії (Фолклендські, або Мальвінські, які є предметом спору з Аргентиною, а також Бермудські, Віргінські, Теркс і Кайкос), Франції (Гваделупа, Мартініка, Гвіана), Нідерландів (Антильські о-ви, Аруба).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Усі країни Латинської Америки належать до тих, що розвиваються, але відрізняються рівнем соціально-економічного розвитку. На межі 80-90-х років XX ст. у більшості з них було впроваджено радикальні реформи з лібералізації економічної політики, спрямовані на фінансову стабілізацію і прискорення економічного зростання. Усі країни регіону використовували модель «периферійної економіки», розроблену у 50-ті роки XX ст. експертами Економічної комісії для Латинської Америки. Автори цієї моделі запропонували здійснити структурну перебудову на основі формування імпортозамінної індустріалізації, при цьому особливу увагу приділяли розвиткові економічної інтеграції і регіонального співробітництва. Головна роль у реалізації цієї моделі належала державі як регулятору макроекономічної політики. </w:t>
      </w:r>
    </w:p>
    <w:p w:rsidR="00CE0757" w:rsidRPr="00CE0757" w:rsidRDefault="00CE0757" w:rsidP="00CE0757">
      <w:pPr>
        <w:spacing w:after="0"/>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В країнах Північної та Південної Америки можна виокремити наступні моделі соціально-економічного розвитку: </w:t>
      </w:r>
    </w:p>
    <w:p w:rsidR="00CE0757" w:rsidRPr="00CE0757" w:rsidRDefault="00CE0757" w:rsidP="00CE0757">
      <w:pPr>
        <w:spacing w:after="5" w:line="269" w:lineRule="auto"/>
        <w:ind w:left="13" w:right="-77" w:hanging="10"/>
        <w:jc w:val="center"/>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1. Ліберальна (найбільш виражена у США, в меншій мірі в Канаді).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lastRenderedPageBreak/>
        <w:t xml:space="preserve">Характерні особливості: мінімальне втручання держави в економіку та взаємодію між роботодавцями та працівниками, роль профспілок послаблена. 2. Імпортозамінна (імпортозамінна індустріалізація), більшість країн Латинської Америки до 80-х років ХХ ст.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Характерні риси: нарощування виробництва у галузях важкої промисловості, збільшення експорту сировини, здійснення протекціоністської політики. </w:t>
      </w:r>
    </w:p>
    <w:p w:rsidR="00CE0757" w:rsidRPr="00CE0757" w:rsidRDefault="00CE0757" w:rsidP="00CE0757">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Неоліберальна («креольського неолібералізму»), країни Латинської Америки починаючи з 80-х років ХХ ст.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Характерні риси: орієнтація на зовнішні чинники, головна роль ініціативі приватного сектору.  </w:t>
      </w:r>
    </w:p>
    <w:p w:rsidR="00CE0757" w:rsidRPr="00CE0757" w:rsidRDefault="00CE0757" w:rsidP="00CE0757">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Соціалістична (найбільш виражена на Кубі, в меншій мірі у Венесуелі, останнім часом у Болівії).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Характерні риси: провідна роль в економіці належить державі, обмеження приватного сектору, утворення державних компаній в першу чергу у галузях з видобутку та переробки корисних копалин. </w:t>
      </w:r>
    </w:p>
    <w:p w:rsidR="00CE0757" w:rsidRPr="00CE0757" w:rsidRDefault="00CE0757" w:rsidP="00CE0757">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Офшорні зони (офшорного підприємництва), Бермудські острови. Низькі податкові ставки або повна відсутність оподаткування. </w:t>
      </w:r>
    </w:p>
    <w:p w:rsidR="00CE0757" w:rsidRPr="00CE0757" w:rsidRDefault="00CE0757" w:rsidP="00CE0757">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Центральноамериканська, острівні території у Карибському морі, майже повна відсутність промислового сектору, основа економіки – сфера послуг, в першу чергу обслуговування іноземних туристів. </w:t>
      </w:r>
    </w:p>
    <w:p w:rsidR="00CE0757" w:rsidRPr="00CE0757" w:rsidRDefault="00CE0757" w:rsidP="00CE0757">
      <w:pPr>
        <w:spacing w:after="33"/>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410CEF" w:rsidP="00CE0757">
      <w:pPr>
        <w:keepNext/>
        <w:keepLines/>
        <w:spacing w:after="3"/>
        <w:ind w:left="10" w:right="74" w:hanging="10"/>
        <w:jc w:val="center"/>
        <w:outlineLvl w:val="0"/>
        <w:rPr>
          <w:rFonts w:ascii="Times New Roman" w:eastAsia="Times New Roman" w:hAnsi="Times New Roman" w:cs="Times New Roman"/>
          <w:b/>
          <w:color w:val="000000"/>
          <w:sz w:val="28"/>
          <w:lang w:eastAsia="ru-RU"/>
        </w:rPr>
      </w:pPr>
      <w:bookmarkStart w:id="3" w:name="_Toc358066"/>
      <w:r>
        <w:rPr>
          <w:rFonts w:ascii="Times New Roman" w:eastAsia="Times New Roman" w:hAnsi="Times New Roman" w:cs="Times New Roman"/>
          <w:b/>
          <w:color w:val="000000"/>
          <w:sz w:val="28"/>
          <w:lang w:val="uk-UA" w:eastAsia="ru-RU"/>
        </w:rPr>
        <w:t>7</w:t>
      </w:r>
      <w:r w:rsidR="00CE0757" w:rsidRPr="00CE0757">
        <w:rPr>
          <w:rFonts w:ascii="Times New Roman" w:eastAsia="Times New Roman" w:hAnsi="Times New Roman" w:cs="Times New Roman"/>
          <w:b/>
          <w:color w:val="000000"/>
          <w:sz w:val="28"/>
          <w:lang w:eastAsia="ru-RU"/>
        </w:rPr>
        <w:t xml:space="preserve">.3. Інтеграційні процеси в країнах Північної та Південної Америки </w:t>
      </w:r>
      <w:bookmarkEnd w:id="3"/>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Організація американських держав – ОАД (Organization of American States – OAS): Антигуа і Барбуда, Аргентина, Багамські Острови, Барбадос, Беліз, Болівія, Бразилія, Венесуела, Гаїті, Гаяна, Гватемала, Гондурас, Гренада, Домініка, Домініканська Республіка, Еквадор, Канада, Колумбія, Коста-Ріка, Куба, Мексика, Нікарагуа, Панама, Парагвай, Перу, Сальвадор, Сент-Вінсент і Гренадіни, Сент-Кіттс і Невіс, Сент-Люсія, США, Сурінам, Тринідад і Тобаго, Уругвай, Чилі, Ямайка.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Північно-Американська угода про вільну торгівлю – НАФТА (North American Free Trade Agreement – NAFTA): США, Канада, Мексика.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Південний спільний рийок – МЕРКОСУР (Меrcado Comun del Sur – MERCOSUR): Аргентина, Бразилія, Парагвай, Уругвай, Венесуела.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Латиноамериканська асоціація інтеграції – ЛААІ (Asociacion Latinoamericana de Integracion – ALADI): Аргентина, Болівія, Бразилія,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Венесуела, Еквадор, Куба, Колумбія, Мексика, Панама, Парагвай, Перу, Уругвай, Чилі.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Карибське співтовариство і Карибський спільний ринок – КАРІКОМ (Caribben Community and Common Market – CARICOM): Антигуа і Барбуда,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lastRenderedPageBreak/>
        <w:t xml:space="preserve">Багамські острови, Барбадос, Беліз, Домініка, Гаїті, Гренада, Гаяна, Монсеррат, Сент-Кітс і Невіс, Сент-Люсія, Сент-Вінсент і Гренадіни, Сурінам, Тринідад і Тобаго, Ямайка. </w:t>
      </w:r>
    </w:p>
    <w:p w:rsidR="00CE0757" w:rsidRPr="00CE0757" w:rsidRDefault="00CE0757" w:rsidP="00CE0757">
      <w:pPr>
        <w:spacing w:after="36"/>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410CEF" w:rsidP="00CE0757">
      <w:pPr>
        <w:keepNext/>
        <w:keepLines/>
        <w:spacing w:after="5" w:line="268" w:lineRule="auto"/>
        <w:ind w:left="9" w:right="67" w:firstLine="221"/>
        <w:jc w:val="both"/>
        <w:outlineLvl w:val="0"/>
        <w:rPr>
          <w:rFonts w:ascii="Times New Roman" w:eastAsia="Times New Roman" w:hAnsi="Times New Roman" w:cs="Times New Roman"/>
          <w:b/>
          <w:color w:val="000000"/>
          <w:sz w:val="28"/>
          <w:lang w:eastAsia="ru-RU"/>
        </w:rPr>
      </w:pPr>
      <w:bookmarkStart w:id="4" w:name="_Toc358067"/>
      <w:r>
        <w:rPr>
          <w:rFonts w:ascii="Times New Roman" w:eastAsia="Times New Roman" w:hAnsi="Times New Roman" w:cs="Times New Roman"/>
          <w:b/>
          <w:color w:val="000000"/>
          <w:sz w:val="28"/>
          <w:lang w:val="uk-UA" w:eastAsia="ru-RU"/>
        </w:rPr>
        <w:t>7</w:t>
      </w:r>
      <w:r w:rsidR="00CE0757" w:rsidRPr="00CE0757">
        <w:rPr>
          <w:rFonts w:ascii="Times New Roman" w:eastAsia="Times New Roman" w:hAnsi="Times New Roman" w:cs="Times New Roman"/>
          <w:b/>
          <w:color w:val="000000"/>
          <w:sz w:val="28"/>
          <w:lang w:eastAsia="ru-RU"/>
        </w:rPr>
        <w:t xml:space="preserve">.4. Демографічна ситуація в країнах Північної та Південної Америки </w:t>
      </w:r>
      <w:bookmarkEnd w:id="4"/>
    </w:p>
    <w:p w:rsidR="00CE0757" w:rsidRPr="00CE0757" w:rsidRDefault="00CE0757" w:rsidP="00CE0757">
      <w:pPr>
        <w:spacing w:after="5" w:line="268" w:lineRule="auto"/>
        <w:ind w:left="9" w:right="67" w:firstLine="221"/>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Населення країн Північної та Південної Америки складає близько 1 022,8 млн. осіб (13,1% від загальної чисельності населення на земній кулі (7 794,8 млн. осіб).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У цьому регіоні є три країни, які за чисельністю населення входять до десятки найбільших країн світу, займаючи, відповідно 3-є (США, 335,0 млн осіб, липень 2021 р.), 7-ме (Бразилія, 213,4 млн осіб) та 10-те (Мексика, 130,2 млн осіб) місце. Чисельність населення більшості країн регіону зростає за рахунок природного приросту, а у США та Канаді, насамперед, за рахунок емігрантів з Латинської Америки, країн Азії та Європи. Чисельність населення найбільших країн Північної та Південної Америки у 2021 р. подано у табл. 4.1. </w:t>
      </w:r>
    </w:p>
    <w:p w:rsidR="00CE0757" w:rsidRPr="00CE0757" w:rsidRDefault="00CE0757" w:rsidP="00CE0757">
      <w:pPr>
        <w:spacing w:after="27"/>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9" w:lineRule="auto"/>
        <w:ind w:left="13" w:right="3" w:hanging="10"/>
        <w:jc w:val="center"/>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Таблиця 4.1. Найбільші країни Північної та Південної Америки за чисельністю населення </w:t>
      </w:r>
    </w:p>
    <w:tbl>
      <w:tblPr>
        <w:tblStyle w:val="TableGrid"/>
        <w:tblW w:w="9347" w:type="dxa"/>
        <w:tblInd w:w="5" w:type="dxa"/>
        <w:tblCellMar>
          <w:top w:w="7" w:type="dxa"/>
          <w:left w:w="108" w:type="dxa"/>
          <w:bottom w:w="0" w:type="dxa"/>
          <w:right w:w="106" w:type="dxa"/>
        </w:tblCellMar>
        <w:tblLook w:val="04A0" w:firstRow="1" w:lastRow="0" w:firstColumn="1" w:lastColumn="0" w:noHBand="0" w:noVBand="1"/>
      </w:tblPr>
      <w:tblGrid>
        <w:gridCol w:w="3108"/>
        <w:gridCol w:w="3116"/>
        <w:gridCol w:w="3123"/>
      </w:tblGrid>
      <w:tr w:rsidR="00CE0757" w:rsidRPr="00CE0757" w:rsidTr="004A4F73">
        <w:trPr>
          <w:trHeight w:val="470"/>
        </w:trPr>
        <w:tc>
          <w:tcPr>
            <w:tcW w:w="3109"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1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Країна </w:t>
            </w:r>
            <w:r w:rsidRPr="00CE0757">
              <w:rPr>
                <w:rFonts w:ascii="Times New Roman" w:eastAsia="Times New Roman" w:hAnsi="Times New Roman" w:cs="Times New Roman"/>
                <w:color w:val="000000"/>
                <w:sz w:val="20"/>
                <w:vertAlign w:val="superscript"/>
              </w:rPr>
              <w:t>1</w:t>
            </w:r>
            <w:r w:rsidRPr="00CE0757">
              <w:rPr>
                <w:rFonts w:ascii="Times New Roman" w:eastAsia="Times New Roman" w:hAnsi="Times New Roman" w:cs="Times New Roman"/>
                <w:color w:val="000000"/>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spacing w:after="20"/>
              <w:ind w:right="1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Чисельність населення на </w:t>
            </w:r>
          </w:p>
          <w:p w:rsidR="00CE0757" w:rsidRPr="00CE0757" w:rsidRDefault="00CE0757" w:rsidP="00CE0757">
            <w:pPr>
              <w:ind w:right="1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01.07.2021 р., млн осіб </w:t>
            </w:r>
          </w:p>
        </w:tc>
        <w:tc>
          <w:tcPr>
            <w:tcW w:w="312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left="46"/>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Зміна до попереднього року, %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(3). США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335,0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0,70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(7). Бразилія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213,4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0,65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(10). Мексика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130,2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1,04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(29). Колумбія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50,4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1,04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(32). Аргентина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45,9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0,84 </w:t>
            </w:r>
          </w:p>
        </w:tc>
      </w:tr>
      <w:tr w:rsidR="00CE0757" w:rsidRPr="00CE0757" w:rsidTr="004A4F73">
        <w:trPr>
          <w:trHeight w:val="241"/>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(38). Канада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37,9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0,77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(45). Перу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32,2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0,88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(50). Венесуела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29,1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2,46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(66). Чилі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18,3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0,68 </w:t>
            </w:r>
          </w:p>
        </w:tc>
      </w:tr>
      <w:tr w:rsidR="00CE0757" w:rsidRPr="00CE0757"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 (67). Гватемала </w:t>
            </w:r>
          </w:p>
        </w:tc>
        <w:tc>
          <w:tcPr>
            <w:tcW w:w="311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17,4 </w:t>
            </w:r>
          </w:p>
        </w:tc>
        <w:tc>
          <w:tcPr>
            <w:tcW w:w="312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1,62 </w:t>
            </w:r>
          </w:p>
        </w:tc>
      </w:tr>
    </w:tbl>
    <w:p w:rsidR="00CE0757" w:rsidRPr="00CE0757" w:rsidRDefault="00CE0757" w:rsidP="00CE0757">
      <w:pPr>
        <w:spacing w:after="70"/>
        <w:ind w:left="703" w:right="626" w:hanging="10"/>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0"/>
          <w:vertAlign w:val="superscript"/>
          <w:lang w:eastAsia="ru-RU"/>
        </w:rPr>
        <w:t>1</w:t>
      </w:r>
      <w:r w:rsidRPr="00CE0757">
        <w:rPr>
          <w:rFonts w:ascii="Times New Roman" w:eastAsia="Times New Roman" w:hAnsi="Times New Roman" w:cs="Times New Roman"/>
          <w:color w:val="000000"/>
          <w:sz w:val="20"/>
          <w:lang w:eastAsia="ru-RU"/>
        </w:rPr>
        <w:t xml:space="preserve"> У дужках зазначено місце країни за чисельністю населення у світовому рейтингу. </w:t>
      </w:r>
    </w:p>
    <w:p w:rsidR="00CE0757" w:rsidRPr="00CE0757" w:rsidRDefault="00CE0757" w:rsidP="00CE0757">
      <w:pPr>
        <w:spacing w:after="0"/>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Середня щільність населення в країнах регіону 2020 р. становила 24,07 осіб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що більше ніж у два рази поступається середньосвітовому показнику (57,7 осіб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Розміщено населення надзвичайно нерівномірно. Північна частина Канади майже повністю безлюдна, а у гірських районах Анд та Кордильєр, у Амазонських лісах вона становить менше 1 особи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Водночас, найвища щільність населення характерна для невеликих островів у регіоні Центральної Америки та басейні Карибського моря (Бермудські острови – 1 328,7 осіб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Серед континентальних країн найвищий показник у Сальвадорі (312,8 осіб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та Гватемалі (157,5 осіб на км</w:t>
      </w:r>
      <w:r w:rsidRPr="00CE0757">
        <w:rPr>
          <w:rFonts w:ascii="Times New Roman" w:eastAsia="Times New Roman" w:hAnsi="Times New Roman" w:cs="Times New Roman"/>
          <w:color w:val="000000"/>
          <w:sz w:val="28"/>
          <w:vertAlign w:val="superscript"/>
          <w:lang w:eastAsia="ru-RU"/>
        </w:rPr>
        <w:t>2</w:t>
      </w: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Більшість населення в країнах Північної та Південної Америки проживає в містах. В Північній Америці рівень урбанізації становить понад </w:t>
      </w:r>
      <w:r w:rsidRPr="00CE0757">
        <w:rPr>
          <w:rFonts w:ascii="Times New Roman" w:eastAsia="Times New Roman" w:hAnsi="Times New Roman" w:cs="Times New Roman"/>
          <w:color w:val="000000"/>
          <w:sz w:val="28"/>
          <w:lang w:eastAsia="ru-RU"/>
        </w:rPr>
        <w:lastRenderedPageBreak/>
        <w:t xml:space="preserve">80% (США – 82,9%, Канада – 81,7%), в Латинській Америці коливається у межах 60-80%, а найвищий близько 90% чи навіть вище спостерігається у Венесуелі – 88,3%, Аргентині – 92,2% та Уругваї – 95,6%. З десяти найбільших агломерацій світу в регіоні Північної та Південної Америки розміщено дві, а у семи найбільших кількість населення перевищує 10 млн. осіб (табл. 4.2). </w:t>
      </w:r>
    </w:p>
    <w:p w:rsidR="00CE0757" w:rsidRPr="00CE0757" w:rsidRDefault="00CE0757" w:rsidP="00CE0757">
      <w:pPr>
        <w:spacing w:after="0"/>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r w:rsidRPr="00CE0757">
        <w:rPr>
          <w:rFonts w:ascii="Times New Roman" w:eastAsia="Times New Roman" w:hAnsi="Times New Roman" w:cs="Times New Roman"/>
          <w:color w:val="000000"/>
          <w:sz w:val="28"/>
          <w:lang w:eastAsia="ru-RU"/>
        </w:rPr>
        <w:tab/>
        <w:t xml:space="preserve"> </w:t>
      </w:r>
    </w:p>
    <w:p w:rsidR="00CE0757" w:rsidRPr="00CE0757" w:rsidRDefault="00CE0757" w:rsidP="00CE0757">
      <w:pPr>
        <w:spacing w:after="25"/>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9" w:lineRule="auto"/>
        <w:ind w:left="13" w:right="3" w:hanging="10"/>
        <w:jc w:val="center"/>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Таблиця 4.2. Населення найбільших агломерацій Північної та Південної Америки (2021 р.) </w:t>
      </w:r>
    </w:p>
    <w:tbl>
      <w:tblPr>
        <w:tblStyle w:val="TableGrid"/>
        <w:tblW w:w="9472" w:type="dxa"/>
        <w:tblInd w:w="5" w:type="dxa"/>
        <w:tblCellMar>
          <w:top w:w="6" w:type="dxa"/>
          <w:left w:w="108" w:type="dxa"/>
          <w:bottom w:w="0" w:type="dxa"/>
          <w:right w:w="70" w:type="dxa"/>
        </w:tblCellMar>
        <w:tblLook w:val="04A0" w:firstRow="1" w:lastRow="0" w:firstColumn="1" w:lastColumn="0" w:noHBand="0" w:noVBand="1"/>
      </w:tblPr>
      <w:tblGrid>
        <w:gridCol w:w="1365"/>
        <w:gridCol w:w="1251"/>
        <w:gridCol w:w="1070"/>
        <w:gridCol w:w="1472"/>
        <w:gridCol w:w="1157"/>
        <w:gridCol w:w="1052"/>
        <w:gridCol w:w="1051"/>
        <w:gridCol w:w="1054"/>
      </w:tblGrid>
      <w:tr w:rsidR="00CE0757" w:rsidRPr="00CE0757" w:rsidTr="004A4F73">
        <w:trPr>
          <w:trHeight w:val="1850"/>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spacing w:after="1" w:line="237" w:lineRule="auto"/>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Порядковий номер серед найбільших азійський </w:t>
            </w:r>
          </w:p>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агломерацій (порядковий номер серед найбільших світових агломерацій)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Назва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Країна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Населення, млн осіб </w:t>
            </w:r>
          </w:p>
        </w:tc>
        <w:tc>
          <w:tcPr>
            <w:tcW w:w="1157"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Щорічний приріст населення, % </w:t>
            </w:r>
          </w:p>
        </w:tc>
        <w:tc>
          <w:tcPr>
            <w:tcW w:w="105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Площа </w:t>
            </w:r>
          </w:p>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агломерації, км</w:t>
            </w:r>
            <w:r w:rsidRPr="00CE0757">
              <w:rPr>
                <w:rFonts w:ascii="Times New Roman" w:eastAsia="Times New Roman" w:hAnsi="Times New Roman" w:cs="Times New Roman"/>
                <w:color w:val="000000"/>
                <w:sz w:val="16"/>
                <w:vertAlign w:val="superscript"/>
              </w:rPr>
              <w:t>2</w:t>
            </w:r>
            <w:r w:rsidRPr="00CE0757">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Щільність населення, осіб/км</w:t>
            </w:r>
            <w:r w:rsidRPr="00CE0757">
              <w:rPr>
                <w:rFonts w:ascii="Times New Roman" w:eastAsia="Times New Roman" w:hAnsi="Times New Roman" w:cs="Times New Roman"/>
                <w:color w:val="000000"/>
                <w:sz w:val="16"/>
                <w:vertAlign w:val="superscript"/>
              </w:rPr>
              <w:t>2</w:t>
            </w:r>
            <w:r w:rsidRPr="00CE0757">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Примітки </w:t>
            </w:r>
          </w:p>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(включає міста) </w:t>
            </w:r>
          </w:p>
        </w:tc>
      </w:tr>
      <w:tr w:rsidR="00CE0757" w:rsidRPr="00CE0757" w:rsidTr="004A4F73">
        <w:trPr>
          <w:trHeight w:val="746"/>
        </w:trPr>
        <w:tc>
          <w:tcPr>
            <w:tcW w:w="1366"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 (9)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Мехіко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Мексика </w:t>
            </w:r>
          </w:p>
        </w:tc>
        <w:tc>
          <w:tcPr>
            <w:tcW w:w="14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24,5 </w:t>
            </w:r>
          </w:p>
        </w:tc>
        <w:tc>
          <w:tcPr>
            <w:tcW w:w="1157"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0,9 </w:t>
            </w:r>
          </w:p>
        </w:tc>
        <w:tc>
          <w:tcPr>
            <w:tcW w:w="105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5 810  </w:t>
            </w:r>
          </w:p>
        </w:tc>
        <w:tc>
          <w:tcPr>
            <w:tcW w:w="10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4 217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spacing w:line="238" w:lineRule="auto"/>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Несауалько йотль, </w:t>
            </w:r>
          </w:p>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Екатепекс, Наукалпан </w:t>
            </w:r>
          </w:p>
        </w:tc>
      </w:tr>
      <w:tr w:rsidR="00CE0757" w:rsidRPr="00CE0757"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 (10) </w:t>
            </w:r>
          </w:p>
        </w:tc>
        <w:tc>
          <w:tcPr>
            <w:tcW w:w="12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Сан-Паулу </w:t>
            </w:r>
          </w:p>
        </w:tc>
        <w:tc>
          <w:tcPr>
            <w:tcW w:w="10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Бразилія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22,6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1,2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6 870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3 290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43"/>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Гуарульюс </w:t>
            </w:r>
          </w:p>
        </w:tc>
      </w:tr>
      <w:tr w:rsidR="00CE0757" w:rsidRPr="00CE0757" w:rsidTr="004A4F73">
        <w:trPr>
          <w:trHeight w:val="562"/>
        </w:trPr>
        <w:tc>
          <w:tcPr>
            <w:tcW w:w="1366"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3 (11)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Нью-Йорк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США </w:t>
            </w:r>
          </w:p>
        </w:tc>
        <w:tc>
          <w:tcPr>
            <w:tcW w:w="14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21,8 </w:t>
            </w:r>
          </w:p>
        </w:tc>
        <w:tc>
          <w:tcPr>
            <w:tcW w:w="1157"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0,2 </w:t>
            </w:r>
          </w:p>
        </w:tc>
        <w:tc>
          <w:tcPr>
            <w:tcW w:w="105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12 844 </w:t>
            </w:r>
          </w:p>
        </w:tc>
        <w:tc>
          <w:tcPr>
            <w:tcW w:w="10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1 697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spacing w:after="33" w:line="235" w:lineRule="auto"/>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Бріджпорт, Ньюарк, </w:t>
            </w:r>
          </w:p>
          <w:p w:rsidR="00CE0757" w:rsidRPr="00CE0757" w:rsidRDefault="00CE0757" w:rsidP="00CE0757">
            <w:pPr>
              <w:ind w:left="46"/>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Ньюхейвен </w:t>
            </w:r>
          </w:p>
        </w:tc>
      </w:tr>
      <w:tr w:rsidR="00CE0757" w:rsidRPr="00CE0757" w:rsidTr="004A4F73">
        <w:trPr>
          <w:trHeight w:val="377"/>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4 (19)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left="41"/>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Лос-Анджелес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США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17,6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0,5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7 683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2 291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Анахейм, Ріверсайд </w:t>
            </w:r>
          </w:p>
        </w:tc>
      </w:tr>
      <w:tr w:rsidR="00CE0757" w:rsidRPr="00CE0757" w:rsidTr="004A4F73">
        <w:trPr>
          <w:trHeight w:val="379"/>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5 (22)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Буенос-Айрес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Аргентина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16,6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1,1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Сан-Хусто, Ла-Плата </w:t>
            </w:r>
          </w:p>
        </w:tc>
      </w:tr>
      <w:tr w:rsidR="00CE0757" w:rsidRPr="00CE0757" w:rsidTr="004A4F73">
        <w:trPr>
          <w:trHeight w:val="377"/>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6 (27) </w:t>
            </w:r>
          </w:p>
        </w:tc>
        <w:tc>
          <w:tcPr>
            <w:tcW w:w="1251"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Ріо-де-Жанейро </w:t>
            </w:r>
          </w:p>
        </w:tc>
        <w:tc>
          <w:tcPr>
            <w:tcW w:w="10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3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Бразилія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13,3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0,8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7 286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1 825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Нова-Ігуасу, Сан-Гонсалу </w:t>
            </w:r>
          </w:p>
        </w:tc>
      </w:tr>
      <w:tr w:rsidR="00CE0757" w:rsidRPr="00CE0757"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7 (34) </w:t>
            </w:r>
          </w:p>
        </w:tc>
        <w:tc>
          <w:tcPr>
            <w:tcW w:w="12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Ліма </w:t>
            </w:r>
          </w:p>
        </w:tc>
        <w:tc>
          <w:tcPr>
            <w:tcW w:w="10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Перу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11,1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2,1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r>
      <w:tr w:rsidR="00CE0757" w:rsidRPr="00CE0757"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8 (40) </w:t>
            </w:r>
          </w:p>
        </w:tc>
        <w:tc>
          <w:tcPr>
            <w:tcW w:w="12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Богота </w:t>
            </w:r>
          </w:p>
        </w:tc>
        <w:tc>
          <w:tcPr>
            <w:tcW w:w="10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Колумбія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9,8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2,0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3 615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2 711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r>
      <w:tr w:rsidR="00CE0757" w:rsidRPr="00CE0757"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9 (41) </w:t>
            </w:r>
          </w:p>
        </w:tc>
        <w:tc>
          <w:tcPr>
            <w:tcW w:w="12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Чикаго </w:t>
            </w:r>
          </w:p>
        </w:tc>
        <w:tc>
          <w:tcPr>
            <w:tcW w:w="10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США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9,65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0,0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7 441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1 297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 </w:t>
            </w:r>
          </w:p>
        </w:tc>
      </w:tr>
      <w:tr w:rsidR="00CE0757" w:rsidRPr="00CE0757"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10 (47) </w:t>
            </w:r>
          </w:p>
        </w:tc>
        <w:tc>
          <w:tcPr>
            <w:tcW w:w="12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Вашингтон </w:t>
            </w:r>
          </w:p>
        </w:tc>
        <w:tc>
          <w:tcPr>
            <w:tcW w:w="10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США </w:t>
            </w:r>
          </w:p>
        </w:tc>
        <w:tc>
          <w:tcPr>
            <w:tcW w:w="14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8,55 </w:t>
            </w:r>
          </w:p>
        </w:tc>
        <w:tc>
          <w:tcPr>
            <w:tcW w:w="115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0,0 </w:t>
            </w:r>
          </w:p>
        </w:tc>
        <w:tc>
          <w:tcPr>
            <w:tcW w:w="105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6 686 </w:t>
            </w:r>
          </w:p>
        </w:tc>
        <w:tc>
          <w:tcPr>
            <w:tcW w:w="1051"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1 279 </w:t>
            </w:r>
          </w:p>
        </w:tc>
        <w:tc>
          <w:tcPr>
            <w:tcW w:w="105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16"/>
              </w:rPr>
              <w:t xml:space="preserve">Балтимор </w:t>
            </w:r>
          </w:p>
        </w:tc>
      </w:tr>
    </w:tbl>
    <w:p w:rsidR="00CE0757" w:rsidRPr="00CE0757" w:rsidRDefault="00CE0757" w:rsidP="00CE0757">
      <w:pPr>
        <w:spacing w:after="33"/>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410CEF" w:rsidP="00CE0757">
      <w:pPr>
        <w:keepNext/>
        <w:keepLines/>
        <w:spacing w:after="5" w:line="268" w:lineRule="auto"/>
        <w:ind w:left="9" w:right="67" w:firstLine="67"/>
        <w:jc w:val="both"/>
        <w:outlineLvl w:val="0"/>
        <w:rPr>
          <w:rFonts w:ascii="Times New Roman" w:eastAsia="Times New Roman" w:hAnsi="Times New Roman" w:cs="Times New Roman"/>
          <w:b/>
          <w:color w:val="000000"/>
          <w:sz w:val="28"/>
          <w:lang w:eastAsia="ru-RU"/>
        </w:rPr>
      </w:pPr>
      <w:bookmarkStart w:id="5" w:name="_Toc358068"/>
      <w:r>
        <w:rPr>
          <w:rFonts w:ascii="Times New Roman" w:eastAsia="Times New Roman" w:hAnsi="Times New Roman" w:cs="Times New Roman"/>
          <w:b/>
          <w:color w:val="000000"/>
          <w:sz w:val="28"/>
          <w:lang w:val="uk-UA" w:eastAsia="ru-RU"/>
        </w:rPr>
        <w:t>7</w:t>
      </w:r>
      <w:bookmarkStart w:id="6" w:name="_GoBack"/>
      <w:bookmarkEnd w:id="6"/>
      <w:r w:rsidR="00CE0757" w:rsidRPr="00CE0757">
        <w:rPr>
          <w:rFonts w:ascii="Times New Roman" w:eastAsia="Times New Roman" w:hAnsi="Times New Roman" w:cs="Times New Roman"/>
          <w:b/>
          <w:color w:val="000000"/>
          <w:sz w:val="28"/>
          <w:lang w:eastAsia="ru-RU"/>
        </w:rPr>
        <w:t xml:space="preserve">.5. Порівняльна характеристика країн Північної та Південної Америки </w:t>
      </w:r>
      <w:bookmarkEnd w:id="5"/>
    </w:p>
    <w:p w:rsidR="00CE0757" w:rsidRPr="00CE0757" w:rsidRDefault="00CE0757" w:rsidP="00CE0757">
      <w:pPr>
        <w:spacing w:after="5" w:line="268" w:lineRule="auto"/>
        <w:ind w:left="9" w:right="67" w:firstLine="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Однією з основних особливостей економічної ситуації у країнах Північної та Південної Америки є домінування США. Економіка США потужніша не лише за дев’ять країн (табл. 4.3), які йдуть за нею у рейтингу за розміром ВВП (ПКС), а й за усі економіки країн Північної та Південної Америки разом узяті. </w:t>
      </w:r>
    </w:p>
    <w:p w:rsidR="00CE0757" w:rsidRPr="00CE0757" w:rsidRDefault="00CE0757" w:rsidP="00CE0757">
      <w:pPr>
        <w:spacing w:after="24"/>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9" w:lineRule="auto"/>
        <w:ind w:left="13" w:right="3" w:hanging="10"/>
        <w:jc w:val="center"/>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Таблиця 4.3. Порівняльна характеристика найпотужніших в економічному плані країн Північної та Південної Америки </w:t>
      </w:r>
    </w:p>
    <w:tbl>
      <w:tblPr>
        <w:tblStyle w:val="TableGrid"/>
        <w:tblW w:w="9347" w:type="dxa"/>
        <w:tblInd w:w="5" w:type="dxa"/>
        <w:tblCellMar>
          <w:top w:w="7" w:type="dxa"/>
          <w:left w:w="108" w:type="dxa"/>
          <w:bottom w:w="0" w:type="dxa"/>
          <w:right w:w="75" w:type="dxa"/>
        </w:tblCellMar>
        <w:tblLook w:val="04A0" w:firstRow="1" w:lastRow="0" w:firstColumn="1" w:lastColumn="0" w:noHBand="0" w:noVBand="1"/>
      </w:tblPr>
      <w:tblGrid>
        <w:gridCol w:w="1874"/>
        <w:gridCol w:w="1870"/>
        <w:gridCol w:w="1875"/>
        <w:gridCol w:w="1856"/>
        <w:gridCol w:w="1872"/>
      </w:tblGrid>
      <w:tr w:rsidR="00CE0757" w:rsidRPr="00CE0757" w:rsidTr="004A4F73">
        <w:trPr>
          <w:trHeight w:val="701"/>
        </w:trPr>
        <w:tc>
          <w:tcPr>
            <w:tcW w:w="187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Країна </w:t>
            </w:r>
          </w:p>
        </w:tc>
        <w:tc>
          <w:tcPr>
            <w:tcW w:w="187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left="12"/>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Територія, тис. км</w:t>
            </w:r>
            <w:r w:rsidRPr="00CE0757">
              <w:rPr>
                <w:rFonts w:ascii="Times New Roman" w:eastAsia="Times New Roman" w:hAnsi="Times New Roman" w:cs="Times New Roman"/>
                <w:color w:val="000000"/>
                <w:sz w:val="20"/>
                <w:vertAlign w:val="superscript"/>
              </w:rPr>
              <w:t>2</w:t>
            </w:r>
            <w:r w:rsidRPr="00CE0757">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ВВП (ПКС), млрд дол.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15" w:hanging="1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ВВП (ПКС) на особу, тис. дол./особу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США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9 833,5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335,0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20 930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63,42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Бразилія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8 515,8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213,4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3 150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14,92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Мексика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1 964,4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130,2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2 440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19,13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lastRenderedPageBreak/>
              <w:t xml:space="preserve">4. Канада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9 984,7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37,9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1 850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48,72 </w:t>
            </w:r>
          </w:p>
        </w:tc>
      </w:tr>
      <w:tr w:rsidR="00CE0757" w:rsidRPr="00CE0757" w:rsidTr="004A4F73">
        <w:trPr>
          <w:trHeight w:val="241"/>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Аргентина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2 780,4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45,9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941,85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20,75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Колумбія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1 138,9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50,4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728,77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14,32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Чилі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756,1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18,3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454,67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23,37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Перу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1 285,2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32,2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397,61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11,87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Еквадор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283,6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17,1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192,77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11,01 </w:t>
            </w:r>
          </w:p>
        </w:tc>
      </w:tr>
      <w:tr w:rsidR="00CE0757" w:rsidRPr="00CE0757"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 Гватемала </w:t>
            </w:r>
          </w:p>
        </w:tc>
        <w:tc>
          <w:tcPr>
            <w:tcW w:w="187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180,9 </w:t>
            </w:r>
          </w:p>
        </w:tc>
        <w:tc>
          <w:tcPr>
            <w:tcW w:w="1875"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17,4 </w:t>
            </w:r>
          </w:p>
        </w:tc>
        <w:tc>
          <w:tcPr>
            <w:tcW w:w="1856"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149,03 </w:t>
            </w:r>
          </w:p>
        </w:tc>
        <w:tc>
          <w:tcPr>
            <w:tcW w:w="18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8,29 </w:t>
            </w:r>
          </w:p>
        </w:tc>
      </w:tr>
    </w:tbl>
    <w:p w:rsidR="00CE0757" w:rsidRPr="00CE0757" w:rsidRDefault="00CE0757" w:rsidP="00CE0757">
      <w:pPr>
        <w:spacing w:after="17"/>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До списку Global 500 входять ТНК лише з чотирьох країн Північної та Південної Америки (табл. 4.4). Кількість цих компаній за останні роки поступово скорочується. Це стосується не лише ТНК зі США, а й з інших країн Північної та Південної Америки. За масштабами бізнесу вони поступаються ТНК з країн Азії. </w:t>
      </w:r>
    </w:p>
    <w:p w:rsidR="00CE0757" w:rsidRPr="00CE0757" w:rsidRDefault="00CE0757" w:rsidP="00CE0757">
      <w:pPr>
        <w:spacing w:after="24"/>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9" w:lineRule="auto"/>
        <w:ind w:left="13" w:right="3" w:hanging="10"/>
        <w:jc w:val="center"/>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Таблиця 4.4. Країни Північної та Південної Америки, ТНК яких мають найбільшу присутність у рейтингу Global 500 </w:t>
      </w:r>
    </w:p>
    <w:tbl>
      <w:tblPr>
        <w:tblStyle w:val="TableGrid"/>
        <w:tblW w:w="9467" w:type="dxa"/>
        <w:tblInd w:w="5" w:type="dxa"/>
        <w:tblCellMar>
          <w:top w:w="7" w:type="dxa"/>
          <w:left w:w="108" w:type="dxa"/>
          <w:bottom w:w="0" w:type="dxa"/>
          <w:right w:w="115" w:type="dxa"/>
        </w:tblCellMar>
        <w:tblLook w:val="04A0" w:firstRow="1" w:lastRow="0" w:firstColumn="1" w:lastColumn="0" w:noHBand="0" w:noVBand="1"/>
      </w:tblPr>
      <w:tblGrid>
        <w:gridCol w:w="2377"/>
        <w:gridCol w:w="1418"/>
        <w:gridCol w:w="1419"/>
        <w:gridCol w:w="1418"/>
        <w:gridCol w:w="1417"/>
        <w:gridCol w:w="1418"/>
      </w:tblGrid>
      <w:tr w:rsidR="00CE0757" w:rsidRPr="00CE0757" w:rsidTr="004A4F73">
        <w:trPr>
          <w:trHeight w:val="240"/>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lef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Країна </w:t>
            </w:r>
          </w:p>
        </w:tc>
        <w:tc>
          <w:tcPr>
            <w:tcW w:w="1418" w:type="dxa"/>
            <w:tcBorders>
              <w:top w:val="single" w:sz="4" w:space="0" w:color="000000"/>
              <w:left w:val="single" w:sz="4" w:space="0" w:color="000000"/>
              <w:bottom w:val="single" w:sz="4" w:space="0" w:color="000000"/>
              <w:right w:val="nil"/>
            </w:tcBorders>
          </w:tcPr>
          <w:p w:rsidR="00CE0757" w:rsidRPr="00CE0757" w:rsidRDefault="00CE0757" w:rsidP="00CE0757">
            <w:pPr>
              <w:rPr>
                <w:rFonts w:ascii="Times New Roman" w:eastAsia="Times New Roman" w:hAnsi="Times New Roman" w:cs="Times New Roman"/>
                <w:color w:val="000000"/>
                <w:sz w:val="28"/>
              </w:rPr>
            </w:pPr>
          </w:p>
        </w:tc>
        <w:tc>
          <w:tcPr>
            <w:tcW w:w="4254" w:type="dxa"/>
            <w:gridSpan w:val="3"/>
            <w:tcBorders>
              <w:top w:val="single" w:sz="4" w:space="0" w:color="000000"/>
              <w:left w:val="nil"/>
              <w:bottom w:val="single" w:sz="4" w:space="0" w:color="000000"/>
              <w:right w:val="nil"/>
            </w:tcBorders>
          </w:tcPr>
          <w:p w:rsidR="00CE0757" w:rsidRPr="00CE0757" w:rsidRDefault="00CE0757" w:rsidP="00CE0757">
            <w:pPr>
              <w:ind w:lef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Кількість ТНК у списку Global 500 </w:t>
            </w:r>
          </w:p>
        </w:tc>
        <w:tc>
          <w:tcPr>
            <w:tcW w:w="1418" w:type="dxa"/>
            <w:tcBorders>
              <w:top w:val="single" w:sz="4" w:space="0" w:color="000000"/>
              <w:left w:val="nil"/>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r>
      <w:tr w:rsidR="00CE0757" w:rsidRPr="00CE0757" w:rsidTr="004A4F73">
        <w:trPr>
          <w:trHeight w:val="240"/>
        </w:trPr>
        <w:tc>
          <w:tcPr>
            <w:tcW w:w="0" w:type="auto"/>
            <w:vMerge/>
            <w:tcBorders>
              <w:top w:val="nil"/>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2017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2018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2019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2020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2021 </w:t>
            </w:r>
          </w:p>
        </w:tc>
      </w:tr>
      <w:tr w:rsidR="00CE0757" w:rsidRPr="00CE0757"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США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132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126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121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121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122 </w:t>
            </w:r>
          </w:p>
        </w:tc>
      </w:tr>
      <w:tr w:rsidR="00CE0757" w:rsidRPr="00CE0757"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Канада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11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 </w:t>
            </w:r>
          </w:p>
        </w:tc>
      </w:tr>
      <w:tr w:rsidR="00CE0757" w:rsidRPr="00CE0757"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Бразилія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w:t>
            </w:r>
          </w:p>
        </w:tc>
      </w:tr>
      <w:tr w:rsidR="00CE0757" w:rsidRPr="00CE0757"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Мексика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w:t>
            </w:r>
          </w:p>
        </w:tc>
      </w:tr>
      <w:tr w:rsidR="00CE0757" w:rsidRPr="00CE0757"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Усього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152 </w:t>
            </w:r>
          </w:p>
        </w:tc>
        <w:tc>
          <w:tcPr>
            <w:tcW w:w="1419"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149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8"/>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145 </w:t>
            </w:r>
          </w:p>
        </w:tc>
        <w:tc>
          <w:tcPr>
            <w:tcW w:w="1417"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7"/>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145 </w:t>
            </w:r>
          </w:p>
        </w:tc>
        <w:tc>
          <w:tcPr>
            <w:tcW w:w="1418"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left="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142 </w:t>
            </w:r>
          </w:p>
        </w:tc>
      </w:tr>
    </w:tbl>
    <w:p w:rsidR="00CE0757" w:rsidRPr="00CE0757" w:rsidRDefault="00CE0757" w:rsidP="00CE0757">
      <w:pPr>
        <w:spacing w:after="25"/>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У табл. 4.5 наведено показники 15-ти найпотужніших ТНК зі США, а також ТНК з Канади, Бразилії та Мексики. Напрями діяльності ТНК зі США характерні для розвинутих країн. Особливістю є наявність 6-ти ТНК з 15-ти найпотужніших, що діють у сфері охорони здоров’я. Це компанії, що володіють мережами аптек, займаються управлінням та обслуговуванням медичних закладів. У жодній іншій країні світу концентрація капіталу у галузі охорони здоров’я не досягла масштабів характерних для США. </w:t>
      </w:r>
    </w:p>
    <w:p w:rsidR="00CE0757" w:rsidRPr="00CE0757" w:rsidRDefault="00CE0757" w:rsidP="00CE0757">
      <w:pPr>
        <w:spacing w:after="24"/>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p>
    <w:p w:rsidR="00CE0757" w:rsidRPr="00CE0757" w:rsidRDefault="00CE0757" w:rsidP="00CE0757">
      <w:pPr>
        <w:spacing w:after="5" w:line="268" w:lineRule="auto"/>
        <w:ind w:left="9" w:right="6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Таблиця 4.5. Найбільших ТНК Північної та Південної Америки у рейтингу </w:t>
      </w:r>
    </w:p>
    <w:p w:rsidR="00CE0757" w:rsidRPr="00CE0757" w:rsidRDefault="00CE0757" w:rsidP="00CE0757">
      <w:pPr>
        <w:spacing w:after="5" w:line="268" w:lineRule="auto"/>
        <w:ind w:left="3363" w:right="67" w:hanging="2857"/>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Global 500 у 2021 р. (15 найбільших ТНК зі США та ТНК з Канади, Бразилії та Мексики)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CE0757" w:rsidRPr="00CE0757" w:rsidTr="004A4F73">
        <w:trPr>
          <w:trHeight w:val="689"/>
        </w:trPr>
        <w:tc>
          <w:tcPr>
            <w:tcW w:w="181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Компанія </w:t>
            </w:r>
            <w:r w:rsidRPr="00CE0757">
              <w:rPr>
                <w:rFonts w:ascii="Times New Roman" w:eastAsia="Times New Roman" w:hAnsi="Times New Roman" w:cs="Times New Roman"/>
                <w:color w:val="000000"/>
                <w:sz w:val="20"/>
                <w:vertAlign w:val="superscript"/>
              </w:rPr>
              <w:t>1</w:t>
            </w:r>
            <w:r w:rsidRPr="00CE0757">
              <w:rPr>
                <w:rFonts w:ascii="Times New Roman" w:eastAsia="Times New Roman" w:hAnsi="Times New Roman" w:cs="Times New Roman"/>
                <w:color w:val="000000"/>
                <w:sz w:val="20"/>
              </w:rP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Країна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Сфера діяльності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Дохід, млн дол.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Прибуток, млн дол.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454"/>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w:t>
            </w:r>
            <w:r w:rsidRPr="00CE0757">
              <w:rPr>
                <w:rFonts w:ascii="Times New Roman" w:eastAsia="Times New Roman" w:hAnsi="Times New Roman" w:cs="Times New Roman"/>
                <w:color w:val="000000"/>
                <w:sz w:val="20"/>
              </w:rPr>
              <w:tab/>
              <w:t xml:space="preserve">(1). </w:t>
            </w:r>
            <w:r w:rsidRPr="00CE0757">
              <w:rPr>
                <w:rFonts w:ascii="Times New Roman" w:eastAsia="Times New Roman" w:hAnsi="Times New Roman" w:cs="Times New Roman"/>
                <w:color w:val="000000"/>
                <w:sz w:val="20"/>
              </w:rPr>
              <w:tab/>
              <w:t xml:space="preserve">Wal-Mart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Stores </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559 151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13 510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(3). Amazon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Інтернет сервіс і торгівля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386 084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21 331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(6). Apple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274 515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57 411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(7). CVS Health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268 706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7 179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(8). UnitedHealth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Group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257 141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15 403 </w:t>
            </w:r>
          </w:p>
        </w:tc>
      </w:tr>
      <w:tr w:rsidR="00CE0757" w:rsidRPr="00CE0757"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(11). Berkshire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Hathaway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Інвестиції та управління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245 510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42 521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(12). McKesson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238 228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-4 539 </w:t>
            </w:r>
          </w:p>
        </w:tc>
      </w:tr>
      <w:tr w:rsidR="00CE0757" w:rsidRPr="00CE0757"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lastRenderedPageBreak/>
              <w:t xml:space="preserve">8 </w:t>
            </w:r>
            <w:r w:rsidRPr="00CE0757">
              <w:rPr>
                <w:rFonts w:ascii="Times New Roman" w:eastAsia="Times New Roman" w:hAnsi="Times New Roman" w:cs="Times New Roman"/>
                <w:color w:val="000000"/>
                <w:sz w:val="20"/>
              </w:rPr>
              <w:tab/>
              <w:t xml:space="preserve">(17). </w:t>
            </w:r>
          </w:p>
          <w:p w:rsidR="00CE0757" w:rsidRPr="00CE0757" w:rsidRDefault="00CE0757" w:rsidP="00CE0757">
            <w:pPr>
              <w:ind w:right="36"/>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AmerisourceBerge n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189 893,9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-3 408,7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(21). Alphabet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Інтернет сервіс і торгівля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182 527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40 269 </w:t>
            </w:r>
          </w:p>
        </w:tc>
      </w:tr>
      <w:tr w:rsidR="00CE0757" w:rsidRPr="00CE0757"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638"/>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 </w:t>
            </w:r>
            <w:r w:rsidRPr="00CE0757">
              <w:rPr>
                <w:rFonts w:ascii="Times New Roman" w:eastAsia="Times New Roman" w:hAnsi="Times New Roman" w:cs="Times New Roman"/>
                <w:color w:val="000000"/>
                <w:sz w:val="20"/>
              </w:rPr>
              <w:tab/>
              <w:t xml:space="preserve">(23). </w:t>
            </w:r>
            <w:r w:rsidRPr="00CE0757">
              <w:rPr>
                <w:rFonts w:ascii="Times New Roman" w:eastAsia="Times New Roman" w:hAnsi="Times New Roman" w:cs="Times New Roman"/>
                <w:color w:val="000000"/>
                <w:sz w:val="20"/>
              </w:rPr>
              <w:tab/>
            </w:r>
            <w:hyperlink r:id="rId5">
              <w:r w:rsidRPr="00CE0757">
                <w:rPr>
                  <w:rFonts w:ascii="Times New Roman" w:eastAsia="Times New Roman" w:hAnsi="Times New Roman" w:cs="Times New Roman"/>
                  <w:color w:val="000000"/>
                  <w:sz w:val="20"/>
                </w:rPr>
                <w:t xml:space="preserve">Exxon </w:t>
              </w:r>
            </w:hyperlink>
          </w:p>
          <w:p w:rsidR="00CE0757" w:rsidRPr="00CE0757" w:rsidRDefault="00CE0757" w:rsidP="00CE0757">
            <w:pPr>
              <w:rPr>
                <w:rFonts w:ascii="Times New Roman" w:eastAsia="Times New Roman" w:hAnsi="Times New Roman" w:cs="Times New Roman"/>
                <w:color w:val="000000"/>
                <w:sz w:val="28"/>
              </w:rPr>
            </w:pPr>
            <w:hyperlink r:id="rId6">
              <w:r w:rsidRPr="00CE0757">
                <w:rPr>
                  <w:rFonts w:ascii="Times New Roman" w:eastAsia="Times New Roman" w:hAnsi="Times New Roman" w:cs="Times New Roman"/>
                  <w:color w:val="000000"/>
                  <w:sz w:val="20"/>
                </w:rPr>
                <w:t>Mobil</w:t>
              </w:r>
            </w:hyperlink>
            <w:hyperlink r:id="rId7">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181 502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-22 440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11 (26). AT&amp;T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171 760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-5 176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620"/>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 </w:t>
            </w:r>
            <w:r w:rsidRPr="00CE0757">
              <w:rPr>
                <w:rFonts w:ascii="Times New Roman" w:eastAsia="Times New Roman" w:hAnsi="Times New Roman" w:cs="Times New Roman"/>
                <w:color w:val="000000"/>
                <w:sz w:val="20"/>
              </w:rPr>
              <w:tab/>
              <w:t xml:space="preserve">(27). </w:t>
            </w:r>
            <w:r w:rsidRPr="00CE0757">
              <w:rPr>
                <w:rFonts w:ascii="Times New Roman" w:eastAsia="Times New Roman" w:hAnsi="Times New Roman" w:cs="Times New Roman"/>
                <w:color w:val="000000"/>
                <w:sz w:val="20"/>
              </w:rPr>
              <w:tab/>
              <w:t xml:space="preserve">Costco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Wholesale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166 761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4 002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 (28). Cigna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160 401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8 458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 (30). Cardinal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Health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152 922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-3 696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15 (33). Microsoft </w:t>
            </w:r>
          </w:p>
        </w:tc>
        <w:tc>
          <w:tcPr>
            <w:tcW w:w="0" w:type="auto"/>
            <w:vMerge/>
            <w:tcBorders>
              <w:top w:val="nil"/>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Програмне забезпечення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143 015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44 281 </w:t>
            </w:r>
          </w:p>
        </w:tc>
      </w:tr>
    </w:tbl>
    <w:p w:rsidR="00CE0757" w:rsidRPr="00CE0757" w:rsidRDefault="00CE0757" w:rsidP="00CE0757">
      <w:pPr>
        <w:spacing w:after="0" w:line="237" w:lineRule="auto"/>
        <w:ind w:right="6476"/>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  </w:t>
      </w:r>
      <w:r w:rsidRPr="00CE0757">
        <w:rPr>
          <w:rFonts w:ascii="Times New Roman" w:eastAsia="Times New Roman" w:hAnsi="Times New Roman" w:cs="Times New Roman"/>
          <w:color w:val="000000"/>
          <w:sz w:val="28"/>
          <w:lang w:eastAsia="ru-RU"/>
        </w:rPr>
        <w:tab/>
        <w:t xml:space="preserve"> </w:t>
      </w:r>
    </w:p>
    <w:p w:rsidR="00CE0757" w:rsidRPr="00CE0757" w:rsidRDefault="00CE0757" w:rsidP="00CE0757">
      <w:pPr>
        <w:spacing w:after="1" w:line="257" w:lineRule="auto"/>
        <w:ind w:left="10" w:right="77" w:hanging="10"/>
        <w:jc w:val="right"/>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Закінчення табл. 4.5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CE0757" w:rsidRPr="00CE0757"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(156). Brookfield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Asset Management </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Канада</w:t>
            </w:r>
            <w:r w:rsidRPr="00CE0757">
              <w:rPr>
                <w:rFonts w:ascii="Times New Roman" w:eastAsia="Times New Roman" w:hAnsi="Times New Roman" w:cs="Times New Roman"/>
                <w:b/>
                <w:color w:val="000000"/>
                <w:sz w:val="20"/>
              </w:rPr>
              <w:t xml:space="preserve"> </w:t>
            </w: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Інвестиції та управління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62 752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4"/>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-134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(169). </w:t>
            </w:r>
            <w:hyperlink r:id="rId8">
              <w:r w:rsidRPr="00CE0757">
                <w:rPr>
                  <w:rFonts w:ascii="Times New Roman" w:eastAsia="Times New Roman" w:hAnsi="Times New Roman" w:cs="Times New Roman"/>
                  <w:color w:val="000000"/>
                  <w:sz w:val="20"/>
                </w:rPr>
                <w:t xml:space="preserve">Manulife </w:t>
              </w:r>
            </w:hyperlink>
          </w:p>
          <w:p w:rsidR="00CE0757" w:rsidRPr="00CE0757" w:rsidRDefault="00CE0757" w:rsidP="00CE0757">
            <w:pPr>
              <w:rPr>
                <w:rFonts w:ascii="Times New Roman" w:eastAsia="Times New Roman" w:hAnsi="Times New Roman" w:cs="Times New Roman"/>
                <w:color w:val="000000"/>
                <w:sz w:val="28"/>
              </w:rPr>
            </w:pPr>
            <w:hyperlink r:id="rId9">
              <w:r w:rsidRPr="00CE0757">
                <w:rPr>
                  <w:rFonts w:ascii="Times New Roman" w:eastAsia="Times New Roman" w:hAnsi="Times New Roman" w:cs="Times New Roman"/>
                  <w:color w:val="000000"/>
                  <w:sz w:val="20"/>
                </w:rPr>
                <w:t>Financial</w:t>
              </w:r>
            </w:hyperlink>
            <w:hyperlink r:id="rId10">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58 840,4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4 377,9 </w:t>
            </w:r>
          </w:p>
        </w:tc>
      </w:tr>
      <w:tr w:rsidR="00CE0757" w:rsidRPr="00CE0757" w:rsidTr="004A4F73">
        <w:trPr>
          <w:trHeight w:val="698"/>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w:t>
            </w:r>
            <w:r w:rsidRPr="00CE0757">
              <w:rPr>
                <w:rFonts w:ascii="Times New Roman" w:eastAsia="Times New Roman" w:hAnsi="Times New Roman" w:cs="Times New Roman"/>
                <w:color w:val="000000"/>
                <w:sz w:val="20"/>
              </w:rPr>
              <w:tab/>
              <w:t xml:space="preserve">(191). </w:t>
            </w:r>
          </w:p>
          <w:p w:rsidR="00CE0757" w:rsidRPr="00CE0757" w:rsidRDefault="00CE0757" w:rsidP="00CE0757">
            <w:pPr>
              <w:rPr>
                <w:rFonts w:ascii="Times New Roman" w:eastAsia="Times New Roman" w:hAnsi="Times New Roman" w:cs="Times New Roman"/>
                <w:color w:val="000000"/>
                <w:sz w:val="28"/>
              </w:rPr>
            </w:pPr>
            <w:hyperlink r:id="rId11">
              <w:r w:rsidRPr="00CE0757">
                <w:rPr>
                  <w:rFonts w:ascii="Times New Roman" w:eastAsia="Times New Roman" w:hAnsi="Times New Roman" w:cs="Times New Roman"/>
                  <w:color w:val="000000"/>
                  <w:sz w:val="20"/>
                </w:rPr>
                <w:t xml:space="preserve">Alimentation </w:t>
              </w:r>
            </w:hyperlink>
          </w:p>
          <w:p w:rsidR="00CE0757" w:rsidRPr="00CE0757" w:rsidRDefault="00CE0757" w:rsidP="00CE0757">
            <w:pPr>
              <w:rPr>
                <w:rFonts w:ascii="Times New Roman" w:eastAsia="Times New Roman" w:hAnsi="Times New Roman" w:cs="Times New Roman"/>
                <w:color w:val="000000"/>
                <w:sz w:val="28"/>
              </w:rPr>
            </w:pPr>
            <w:hyperlink r:id="rId12">
              <w:r w:rsidRPr="00CE0757">
                <w:rPr>
                  <w:rFonts w:ascii="Times New Roman" w:eastAsia="Times New Roman" w:hAnsi="Times New Roman" w:cs="Times New Roman"/>
                  <w:color w:val="000000"/>
                  <w:sz w:val="20"/>
                </w:rPr>
                <w:t>Couche</w:t>
              </w:r>
            </w:hyperlink>
            <w:hyperlink r:id="rId13">
              <w:r w:rsidRPr="00CE0757">
                <w:rPr>
                  <w:rFonts w:ascii="Times New Roman" w:eastAsia="Times New Roman" w:hAnsi="Times New Roman" w:cs="Times New Roman"/>
                  <w:color w:val="000000"/>
                  <w:sz w:val="20"/>
                </w:rPr>
                <w:t>-</w:t>
              </w:r>
            </w:hyperlink>
            <w:hyperlink r:id="rId14">
              <w:r w:rsidRPr="00CE0757">
                <w:rPr>
                  <w:rFonts w:ascii="Times New Roman" w:eastAsia="Times New Roman" w:hAnsi="Times New Roman" w:cs="Times New Roman"/>
                  <w:color w:val="000000"/>
                  <w:sz w:val="20"/>
                </w:rPr>
                <w:t>Tard</w:t>
              </w:r>
            </w:hyperlink>
            <w:hyperlink r:id="rId15">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54 132,4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2 353,6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592"/>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w:t>
            </w:r>
            <w:r w:rsidRPr="00CE0757">
              <w:rPr>
                <w:rFonts w:ascii="Times New Roman" w:eastAsia="Times New Roman" w:hAnsi="Times New Roman" w:cs="Times New Roman"/>
                <w:color w:val="000000"/>
                <w:sz w:val="20"/>
              </w:rPr>
              <w:tab/>
              <w:t xml:space="preserve">(228). </w:t>
            </w:r>
            <w:r w:rsidRPr="00CE0757">
              <w:rPr>
                <w:rFonts w:ascii="Times New Roman" w:eastAsia="Times New Roman" w:hAnsi="Times New Roman" w:cs="Times New Roman"/>
                <w:color w:val="000000"/>
                <w:sz w:val="20"/>
              </w:rPr>
              <w:tab/>
            </w:r>
            <w:hyperlink r:id="rId16">
              <w:r w:rsidRPr="00CE0757">
                <w:rPr>
                  <w:rFonts w:ascii="Times New Roman" w:eastAsia="Times New Roman" w:hAnsi="Times New Roman" w:cs="Times New Roman"/>
                  <w:color w:val="000000"/>
                  <w:sz w:val="20"/>
                </w:rPr>
                <w:t xml:space="preserve">Power </w:t>
              </w:r>
            </w:hyperlink>
          </w:p>
          <w:p w:rsidR="00CE0757" w:rsidRPr="00CE0757" w:rsidRDefault="00CE0757" w:rsidP="00CE0757">
            <w:pPr>
              <w:rPr>
                <w:rFonts w:ascii="Times New Roman" w:eastAsia="Times New Roman" w:hAnsi="Times New Roman" w:cs="Times New Roman"/>
                <w:color w:val="000000"/>
                <w:sz w:val="28"/>
              </w:rPr>
            </w:pPr>
            <w:hyperlink r:id="rId17">
              <w:r w:rsidRPr="00CE0757">
                <w:rPr>
                  <w:rFonts w:ascii="Times New Roman" w:eastAsia="Times New Roman" w:hAnsi="Times New Roman" w:cs="Times New Roman"/>
                  <w:color w:val="000000"/>
                  <w:sz w:val="20"/>
                </w:rPr>
                <w:t>Corp. of Canada</w:t>
              </w:r>
            </w:hyperlink>
            <w:hyperlink r:id="rId18">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48 183,1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1 525,7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609"/>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w:t>
            </w:r>
            <w:r w:rsidRPr="00CE0757">
              <w:rPr>
                <w:rFonts w:ascii="Times New Roman" w:eastAsia="Times New Roman" w:hAnsi="Times New Roman" w:cs="Times New Roman"/>
                <w:color w:val="000000"/>
                <w:sz w:val="20"/>
              </w:rPr>
              <w:tab/>
              <w:t xml:space="preserve">(250). </w:t>
            </w:r>
            <w:r w:rsidRPr="00CE0757">
              <w:rPr>
                <w:rFonts w:ascii="Times New Roman" w:eastAsia="Times New Roman" w:hAnsi="Times New Roman" w:cs="Times New Roman"/>
                <w:color w:val="000000"/>
                <w:sz w:val="20"/>
              </w:rPr>
              <w:tab/>
            </w:r>
            <w:hyperlink r:id="rId19">
              <w:r w:rsidRPr="00CE0757">
                <w:rPr>
                  <w:rFonts w:ascii="Times New Roman" w:eastAsia="Times New Roman" w:hAnsi="Times New Roman" w:cs="Times New Roman"/>
                  <w:color w:val="000000"/>
                  <w:sz w:val="20"/>
                </w:rPr>
                <w:t xml:space="preserve">Royal </w:t>
              </w:r>
            </w:hyperlink>
          </w:p>
          <w:p w:rsidR="00CE0757" w:rsidRPr="00CE0757" w:rsidRDefault="00CE0757" w:rsidP="00CE0757">
            <w:pPr>
              <w:rPr>
                <w:rFonts w:ascii="Times New Roman" w:eastAsia="Times New Roman" w:hAnsi="Times New Roman" w:cs="Times New Roman"/>
                <w:color w:val="000000"/>
                <w:sz w:val="28"/>
              </w:rPr>
            </w:pPr>
            <w:hyperlink r:id="rId20">
              <w:r w:rsidRPr="00CE0757">
                <w:rPr>
                  <w:rFonts w:ascii="Times New Roman" w:eastAsia="Times New Roman" w:hAnsi="Times New Roman" w:cs="Times New Roman"/>
                  <w:color w:val="000000"/>
                  <w:sz w:val="20"/>
                </w:rPr>
                <w:t>Bank of Canada</w:t>
              </w:r>
            </w:hyperlink>
            <w:hyperlink r:id="rId21">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45 508,8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8 496,9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554"/>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w:t>
            </w:r>
            <w:r w:rsidRPr="00CE0757">
              <w:rPr>
                <w:rFonts w:ascii="Times New Roman" w:eastAsia="Times New Roman" w:hAnsi="Times New Roman" w:cs="Times New Roman"/>
                <w:color w:val="000000"/>
                <w:sz w:val="20"/>
              </w:rPr>
              <w:tab/>
              <w:t xml:space="preserve">(292). </w:t>
            </w:r>
            <w:r w:rsidRPr="00CE0757">
              <w:rPr>
                <w:rFonts w:ascii="Times New Roman" w:eastAsia="Times New Roman" w:hAnsi="Times New Roman" w:cs="Times New Roman"/>
                <w:color w:val="000000"/>
                <w:sz w:val="20"/>
              </w:rPr>
              <w:tab/>
            </w:r>
            <w:hyperlink r:id="rId22">
              <w:r w:rsidRPr="00CE0757">
                <w:rPr>
                  <w:rFonts w:ascii="Times New Roman" w:eastAsia="Times New Roman" w:hAnsi="Times New Roman" w:cs="Times New Roman"/>
                  <w:color w:val="000000"/>
                  <w:sz w:val="20"/>
                </w:rPr>
                <w:t xml:space="preserve">George </w:t>
              </w:r>
            </w:hyperlink>
          </w:p>
          <w:p w:rsidR="00CE0757" w:rsidRPr="00CE0757" w:rsidRDefault="00CE0757" w:rsidP="00CE0757">
            <w:pPr>
              <w:rPr>
                <w:rFonts w:ascii="Times New Roman" w:eastAsia="Times New Roman" w:hAnsi="Times New Roman" w:cs="Times New Roman"/>
                <w:color w:val="000000"/>
                <w:sz w:val="28"/>
              </w:rPr>
            </w:pPr>
            <w:hyperlink r:id="rId23">
              <w:r w:rsidRPr="00CE0757">
                <w:rPr>
                  <w:rFonts w:ascii="Times New Roman" w:eastAsia="Times New Roman" w:hAnsi="Times New Roman" w:cs="Times New Roman"/>
                  <w:color w:val="000000"/>
                  <w:sz w:val="20"/>
                </w:rPr>
                <w:t>Weston</w:t>
              </w:r>
            </w:hyperlink>
            <w:hyperlink r:id="rId24">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40 792,6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718,1 </w:t>
            </w:r>
          </w:p>
        </w:tc>
      </w:tr>
      <w:tr w:rsidR="00CE0757" w:rsidRPr="00CE0757"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 (296). </w:t>
            </w:r>
            <w:hyperlink r:id="rId25">
              <w:r w:rsidRPr="00CE0757">
                <w:rPr>
                  <w:rFonts w:ascii="Times New Roman" w:eastAsia="Times New Roman" w:hAnsi="Times New Roman" w:cs="Times New Roman"/>
                  <w:color w:val="000000"/>
                  <w:sz w:val="20"/>
                </w:rPr>
                <w:t>Toronto</w:t>
              </w:r>
            </w:hyperlink>
            <w:hyperlink r:id="rId26">
              <w:r w:rsidRPr="00CE0757">
                <w:rPr>
                  <w:rFonts w:ascii="Times New Roman" w:eastAsia="Times New Roman" w:hAnsi="Times New Roman" w:cs="Times New Roman"/>
                  <w:color w:val="000000"/>
                  <w:sz w:val="20"/>
                </w:rPr>
                <w:t>-</w:t>
              </w:r>
            </w:hyperlink>
          </w:p>
          <w:p w:rsidR="00CE0757" w:rsidRPr="00CE0757" w:rsidRDefault="00CE0757" w:rsidP="00CE0757">
            <w:pPr>
              <w:rPr>
                <w:rFonts w:ascii="Times New Roman" w:eastAsia="Times New Roman" w:hAnsi="Times New Roman" w:cs="Times New Roman"/>
                <w:color w:val="000000"/>
                <w:sz w:val="28"/>
              </w:rPr>
            </w:pPr>
            <w:hyperlink r:id="rId27">
              <w:r w:rsidRPr="00CE0757">
                <w:rPr>
                  <w:rFonts w:ascii="Times New Roman" w:eastAsia="Times New Roman" w:hAnsi="Times New Roman" w:cs="Times New Roman"/>
                  <w:color w:val="000000"/>
                  <w:sz w:val="20"/>
                </w:rPr>
                <w:t>Dominion Bank</w:t>
              </w:r>
            </w:hyperlink>
            <w:hyperlink r:id="rId28">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39 899,5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8 841 </w:t>
            </w:r>
          </w:p>
        </w:tc>
      </w:tr>
      <w:tr w:rsidR="00CE0757" w:rsidRPr="00CE0757"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571"/>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 </w:t>
            </w:r>
            <w:r w:rsidRPr="00CE0757">
              <w:rPr>
                <w:rFonts w:ascii="Times New Roman" w:eastAsia="Times New Roman" w:hAnsi="Times New Roman" w:cs="Times New Roman"/>
                <w:color w:val="000000"/>
                <w:sz w:val="20"/>
              </w:rPr>
              <w:tab/>
              <w:t xml:space="preserve">(372). </w:t>
            </w:r>
            <w:r w:rsidRPr="00CE0757">
              <w:rPr>
                <w:rFonts w:ascii="Times New Roman" w:eastAsia="Times New Roman" w:hAnsi="Times New Roman" w:cs="Times New Roman"/>
                <w:color w:val="000000"/>
                <w:sz w:val="20"/>
              </w:rPr>
              <w:tab/>
            </w:r>
            <w:hyperlink r:id="rId29">
              <w:r w:rsidRPr="00CE0757">
                <w:rPr>
                  <w:rFonts w:ascii="Times New Roman" w:eastAsia="Times New Roman" w:hAnsi="Times New Roman" w:cs="Times New Roman"/>
                  <w:color w:val="000000"/>
                  <w:sz w:val="20"/>
                </w:rPr>
                <w:t xml:space="preserve">Magna </w:t>
              </w:r>
            </w:hyperlink>
          </w:p>
          <w:p w:rsidR="00CE0757" w:rsidRPr="00CE0757" w:rsidRDefault="00CE0757" w:rsidP="00CE0757">
            <w:pPr>
              <w:rPr>
                <w:rFonts w:ascii="Times New Roman" w:eastAsia="Times New Roman" w:hAnsi="Times New Roman" w:cs="Times New Roman"/>
                <w:color w:val="000000"/>
                <w:sz w:val="28"/>
              </w:rPr>
            </w:pPr>
            <w:hyperlink r:id="rId30">
              <w:r w:rsidRPr="00CE0757">
                <w:rPr>
                  <w:rFonts w:ascii="Times New Roman" w:eastAsia="Times New Roman" w:hAnsi="Times New Roman" w:cs="Times New Roman"/>
                  <w:color w:val="000000"/>
                  <w:sz w:val="20"/>
                </w:rPr>
                <w:t>International</w:t>
              </w:r>
            </w:hyperlink>
            <w:hyperlink r:id="rId31">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32 647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757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9 (376). </w:t>
            </w:r>
            <w:hyperlink r:id="rId32">
              <w:r w:rsidRPr="00CE0757">
                <w:rPr>
                  <w:rFonts w:ascii="Times New Roman" w:eastAsia="Times New Roman" w:hAnsi="Times New Roman" w:cs="Times New Roman"/>
                  <w:color w:val="000000"/>
                  <w:sz w:val="20"/>
                </w:rPr>
                <w:t xml:space="preserve">Bank of </w:t>
              </w:r>
            </w:hyperlink>
          </w:p>
          <w:p w:rsidR="00CE0757" w:rsidRPr="00CE0757" w:rsidRDefault="00CE0757" w:rsidP="00CE0757">
            <w:pPr>
              <w:rPr>
                <w:rFonts w:ascii="Times New Roman" w:eastAsia="Times New Roman" w:hAnsi="Times New Roman" w:cs="Times New Roman"/>
                <w:color w:val="000000"/>
                <w:sz w:val="28"/>
              </w:rPr>
            </w:pPr>
            <w:hyperlink r:id="rId33">
              <w:r w:rsidRPr="00CE0757">
                <w:rPr>
                  <w:rFonts w:ascii="Times New Roman" w:eastAsia="Times New Roman" w:hAnsi="Times New Roman" w:cs="Times New Roman"/>
                  <w:color w:val="000000"/>
                  <w:sz w:val="20"/>
                </w:rPr>
                <w:t>Nova Scotia</w:t>
              </w:r>
            </w:hyperlink>
            <w:hyperlink r:id="rId34">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32 501,1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5 037,8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10 (3798). Sun Life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Financial </w:t>
            </w:r>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5"/>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32 315,7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1 862.7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11 (418). </w:t>
            </w:r>
            <w:hyperlink r:id="rId35">
              <w:r w:rsidRPr="00CE0757">
                <w:rPr>
                  <w:rFonts w:ascii="Times New Roman" w:eastAsia="Times New Roman" w:hAnsi="Times New Roman" w:cs="Times New Roman"/>
                  <w:color w:val="000000"/>
                  <w:sz w:val="20"/>
                </w:rPr>
                <w:t>Enbridge</w:t>
              </w:r>
            </w:hyperlink>
            <w:hyperlink r:id="rId36">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Нафтогазова (будівництво нафто- та газопроводів)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29 146,5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2 507,7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12 (472). Bank of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Montreal </w:t>
            </w:r>
          </w:p>
        </w:tc>
        <w:tc>
          <w:tcPr>
            <w:tcW w:w="0" w:type="auto"/>
            <w:vMerge/>
            <w:tcBorders>
              <w:top w:val="nil"/>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25 664,6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3 788,4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(181). </w:t>
            </w:r>
            <w:hyperlink r:id="rId37">
              <w:r w:rsidRPr="00CE0757">
                <w:rPr>
                  <w:rFonts w:ascii="Times New Roman" w:eastAsia="Times New Roman" w:hAnsi="Times New Roman" w:cs="Times New Roman"/>
                  <w:color w:val="000000"/>
                  <w:sz w:val="20"/>
                </w:rPr>
                <w:t>Petrobras</w:t>
              </w:r>
            </w:hyperlink>
            <w:hyperlink r:id="rId38">
              <w:r w:rsidRPr="00CE0757">
                <w:rPr>
                  <w:rFonts w:ascii="Times New Roman" w:eastAsia="Times New Roman" w:hAnsi="Times New Roman" w:cs="Times New Roman"/>
                  <w:color w:val="000000"/>
                  <w:sz w:val="20"/>
                </w:rPr>
                <w:t xml:space="preserve"> </w:t>
              </w:r>
            </w:hyperlink>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Бразилія </w:t>
            </w: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56 683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1 141 </w:t>
            </w:r>
          </w:p>
        </w:tc>
      </w:tr>
      <w:tr w:rsidR="00CE0757" w:rsidRPr="00CE0757" w:rsidTr="004A4F73">
        <w:trPr>
          <w:trHeight w:val="468"/>
        </w:trPr>
        <w:tc>
          <w:tcPr>
            <w:tcW w:w="181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(202). </w:t>
            </w:r>
            <w:hyperlink r:id="rId39">
              <w:r w:rsidRPr="00CE0757">
                <w:rPr>
                  <w:rFonts w:ascii="Times New Roman" w:eastAsia="Times New Roman" w:hAnsi="Times New Roman" w:cs="Times New Roman"/>
                  <w:color w:val="000000"/>
                  <w:sz w:val="20"/>
                </w:rPr>
                <w:t>JBS</w:t>
              </w:r>
            </w:hyperlink>
            <w:hyperlink r:id="rId40">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М’ясопереробна промисловість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52 429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892,2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(294). </w:t>
            </w:r>
            <w:hyperlink r:id="rId41">
              <w:r w:rsidRPr="00CE0757">
                <w:rPr>
                  <w:rFonts w:ascii="Times New Roman" w:eastAsia="Times New Roman" w:hAnsi="Times New Roman" w:cs="Times New Roman"/>
                  <w:color w:val="000000"/>
                  <w:sz w:val="20"/>
                </w:rPr>
                <w:t>Vale</w:t>
              </w:r>
            </w:hyperlink>
            <w:hyperlink r:id="rId42">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Гірничовидобувна, металургія, енергетика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40 018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49"/>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4 881 </w:t>
            </w:r>
          </w:p>
        </w:tc>
      </w:tr>
      <w:tr w:rsidR="00CE0757" w:rsidRPr="00CE0757"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693"/>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 </w:t>
            </w:r>
            <w:r w:rsidRPr="00CE0757">
              <w:rPr>
                <w:rFonts w:ascii="Times New Roman" w:eastAsia="Times New Roman" w:hAnsi="Times New Roman" w:cs="Times New Roman"/>
                <w:color w:val="000000"/>
                <w:sz w:val="20"/>
              </w:rPr>
              <w:tab/>
              <w:t xml:space="preserve">(322). </w:t>
            </w:r>
            <w:r w:rsidRPr="00CE0757">
              <w:rPr>
                <w:rFonts w:ascii="Times New Roman" w:eastAsia="Times New Roman" w:hAnsi="Times New Roman" w:cs="Times New Roman"/>
                <w:color w:val="000000"/>
                <w:sz w:val="20"/>
              </w:rPr>
              <w:tab/>
            </w:r>
            <w:hyperlink r:id="rId43">
              <w:r w:rsidRPr="00CE0757">
                <w:rPr>
                  <w:rFonts w:ascii="Times New Roman" w:eastAsia="Times New Roman" w:hAnsi="Times New Roman" w:cs="Times New Roman"/>
                  <w:color w:val="000000"/>
                  <w:sz w:val="20"/>
                </w:rPr>
                <w:t xml:space="preserve">Itaú </w:t>
              </w:r>
            </w:hyperlink>
          </w:p>
          <w:p w:rsidR="00CE0757" w:rsidRPr="00CE0757" w:rsidRDefault="00CE0757" w:rsidP="00CE0757">
            <w:pPr>
              <w:rPr>
                <w:rFonts w:ascii="Times New Roman" w:eastAsia="Times New Roman" w:hAnsi="Times New Roman" w:cs="Times New Roman"/>
                <w:color w:val="000000"/>
                <w:sz w:val="28"/>
              </w:rPr>
            </w:pPr>
            <w:hyperlink r:id="rId44">
              <w:r w:rsidRPr="00CE0757">
                <w:rPr>
                  <w:rFonts w:ascii="Times New Roman" w:eastAsia="Times New Roman" w:hAnsi="Times New Roman" w:cs="Times New Roman"/>
                  <w:color w:val="000000"/>
                  <w:sz w:val="20"/>
                </w:rPr>
                <w:t>Unibanco Holding</w:t>
              </w:r>
            </w:hyperlink>
            <w:hyperlink r:id="rId45">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37 279,7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3 666,5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tabs>
                <w:tab w:val="center" w:pos="592"/>
                <w:tab w:val="right" w:pos="1643"/>
              </w:tabs>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5 </w:t>
            </w:r>
            <w:r w:rsidRPr="00CE0757">
              <w:rPr>
                <w:rFonts w:ascii="Times New Roman" w:eastAsia="Times New Roman" w:hAnsi="Times New Roman" w:cs="Times New Roman"/>
                <w:color w:val="000000"/>
                <w:sz w:val="20"/>
              </w:rPr>
              <w:tab/>
              <w:t xml:space="preserve">(426). </w:t>
            </w:r>
            <w:r w:rsidRPr="00CE0757">
              <w:rPr>
                <w:rFonts w:ascii="Times New Roman" w:eastAsia="Times New Roman" w:hAnsi="Times New Roman" w:cs="Times New Roman"/>
                <w:color w:val="000000"/>
                <w:sz w:val="20"/>
              </w:rPr>
              <w:tab/>
            </w:r>
            <w:hyperlink r:id="rId46">
              <w:r w:rsidRPr="00CE0757">
                <w:rPr>
                  <w:rFonts w:ascii="Times New Roman" w:eastAsia="Times New Roman" w:hAnsi="Times New Roman" w:cs="Times New Roman"/>
                  <w:color w:val="000000"/>
                  <w:sz w:val="20"/>
                </w:rPr>
                <w:t xml:space="preserve">Banco </w:t>
              </w:r>
            </w:hyperlink>
          </w:p>
          <w:p w:rsidR="00CE0757" w:rsidRPr="00CE0757" w:rsidRDefault="00CE0757" w:rsidP="00CE0757">
            <w:pPr>
              <w:rPr>
                <w:rFonts w:ascii="Times New Roman" w:eastAsia="Times New Roman" w:hAnsi="Times New Roman" w:cs="Times New Roman"/>
                <w:color w:val="000000"/>
                <w:sz w:val="28"/>
              </w:rPr>
            </w:pPr>
            <w:hyperlink r:id="rId47">
              <w:r w:rsidRPr="00CE0757">
                <w:rPr>
                  <w:rFonts w:ascii="Times New Roman" w:eastAsia="Times New Roman" w:hAnsi="Times New Roman" w:cs="Times New Roman"/>
                  <w:color w:val="000000"/>
                  <w:sz w:val="20"/>
                </w:rPr>
                <w:t>Bradesco</w:t>
              </w:r>
            </w:hyperlink>
            <w:hyperlink r:id="rId48">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nil"/>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28 539,3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3 072,9 </w:t>
            </w:r>
          </w:p>
        </w:tc>
      </w:tr>
      <w:tr w:rsidR="00CE0757" w:rsidRPr="00CE0757"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6 (482). </w:t>
            </w:r>
            <w:hyperlink r:id="rId49">
              <w:r w:rsidRPr="00CE0757">
                <w:rPr>
                  <w:rFonts w:ascii="Times New Roman" w:eastAsia="Times New Roman" w:hAnsi="Times New Roman" w:cs="Times New Roman"/>
                  <w:color w:val="000000"/>
                  <w:sz w:val="20"/>
                </w:rPr>
                <w:t xml:space="preserve">Banco do </w:t>
              </w:r>
            </w:hyperlink>
          </w:p>
          <w:p w:rsidR="00CE0757" w:rsidRPr="00CE0757" w:rsidRDefault="00CE0757" w:rsidP="00CE0757">
            <w:pPr>
              <w:rPr>
                <w:rFonts w:ascii="Times New Roman" w:eastAsia="Times New Roman" w:hAnsi="Times New Roman" w:cs="Times New Roman"/>
                <w:color w:val="000000"/>
                <w:sz w:val="28"/>
              </w:rPr>
            </w:pPr>
            <w:hyperlink r:id="rId50">
              <w:r w:rsidRPr="00CE0757">
                <w:rPr>
                  <w:rFonts w:ascii="Times New Roman" w:eastAsia="Times New Roman" w:hAnsi="Times New Roman" w:cs="Times New Roman"/>
                  <w:color w:val="000000"/>
                  <w:sz w:val="20"/>
                </w:rPr>
                <w:t>Brasil</w:t>
              </w:r>
            </w:hyperlink>
            <w:hyperlink r:id="rId51">
              <w:r w:rsidRPr="00CE0757">
                <w:rPr>
                  <w:rFonts w:ascii="Times New Roman" w:eastAsia="Times New Roman" w:hAnsi="Times New Roman" w:cs="Times New Roman"/>
                  <w:color w:val="000000"/>
                  <w:sz w:val="20"/>
                </w:rPr>
                <w:t xml:space="preserve"> </w:t>
              </w:r>
            </w:hyperlink>
          </w:p>
        </w:tc>
        <w:tc>
          <w:tcPr>
            <w:tcW w:w="0" w:type="auto"/>
            <w:vMerge/>
            <w:tcBorders>
              <w:top w:val="nil"/>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6"/>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Банківська справа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25 149,6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2 299,6 </w:t>
            </w:r>
          </w:p>
        </w:tc>
      </w:tr>
      <w:tr w:rsidR="00CE0757" w:rsidRPr="00CE0757"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 </w:t>
            </w:r>
          </w:p>
        </w:tc>
      </w:tr>
      <w:tr w:rsidR="00CE0757" w:rsidRPr="00CE0757"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spacing w:after="17"/>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1 (237). América </w:t>
            </w:r>
          </w:p>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Móvil </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Мексика </w:t>
            </w:r>
          </w:p>
        </w:tc>
        <w:tc>
          <w:tcPr>
            <w:tcW w:w="2672"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3"/>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47 326 </w:t>
            </w:r>
          </w:p>
        </w:tc>
        <w:tc>
          <w:tcPr>
            <w:tcW w:w="1733" w:type="dxa"/>
            <w:tcBorders>
              <w:top w:val="single" w:sz="4" w:space="0" w:color="000000"/>
              <w:left w:val="single" w:sz="4" w:space="0" w:color="000000"/>
              <w:bottom w:val="single" w:sz="4" w:space="0" w:color="000000"/>
              <w:right w:val="single" w:sz="4" w:space="0" w:color="000000"/>
            </w:tcBorders>
            <w:vAlign w:val="center"/>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2 180,5 </w:t>
            </w:r>
          </w:p>
        </w:tc>
      </w:tr>
      <w:tr w:rsidR="00CE0757" w:rsidRPr="00CE0757" w:rsidTr="004A4F73">
        <w:trPr>
          <w:trHeight w:val="242"/>
        </w:trPr>
        <w:tc>
          <w:tcPr>
            <w:tcW w:w="1810"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 (257). Pemex </w:t>
            </w:r>
          </w:p>
        </w:tc>
        <w:tc>
          <w:tcPr>
            <w:tcW w:w="0" w:type="auto"/>
            <w:vMerge/>
            <w:tcBorders>
              <w:top w:val="nil"/>
              <w:left w:val="single" w:sz="4" w:space="0" w:color="000000"/>
              <w:bottom w:val="single" w:sz="4" w:space="0" w:color="000000"/>
              <w:right w:val="single" w:sz="4" w:space="0" w:color="000000"/>
            </w:tcBorders>
          </w:tcPr>
          <w:p w:rsidR="00CE0757" w:rsidRPr="00CE0757" w:rsidRDefault="00CE0757" w:rsidP="00CE0757">
            <w:pPr>
              <w:rPr>
                <w:rFonts w:ascii="Times New Roman" w:eastAsia="Times New Roman" w:hAnsi="Times New Roman" w:cs="Times New Roman"/>
                <w:color w:val="000000"/>
                <w:sz w:val="28"/>
              </w:rPr>
            </w:pPr>
          </w:p>
        </w:tc>
        <w:tc>
          <w:tcPr>
            <w:tcW w:w="2672"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1"/>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0"/>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44 383,6 </w:t>
            </w:r>
          </w:p>
        </w:tc>
        <w:tc>
          <w:tcPr>
            <w:tcW w:w="1733" w:type="dxa"/>
            <w:tcBorders>
              <w:top w:val="single" w:sz="4" w:space="0" w:color="000000"/>
              <w:left w:val="single" w:sz="4" w:space="0" w:color="000000"/>
              <w:bottom w:val="single" w:sz="4" w:space="0" w:color="000000"/>
              <w:right w:val="single" w:sz="4" w:space="0" w:color="000000"/>
            </w:tcBorders>
          </w:tcPr>
          <w:p w:rsidR="00CE0757" w:rsidRPr="00CE0757" w:rsidRDefault="00CE0757" w:rsidP="00CE0757">
            <w:pPr>
              <w:ind w:right="52"/>
              <w:jc w:val="center"/>
              <w:rPr>
                <w:rFonts w:ascii="Times New Roman" w:eastAsia="Times New Roman" w:hAnsi="Times New Roman" w:cs="Times New Roman"/>
                <w:color w:val="000000"/>
                <w:sz w:val="28"/>
              </w:rPr>
            </w:pPr>
            <w:r w:rsidRPr="00CE0757">
              <w:rPr>
                <w:rFonts w:ascii="Times New Roman" w:eastAsia="Times New Roman" w:hAnsi="Times New Roman" w:cs="Times New Roman"/>
                <w:color w:val="000000"/>
                <w:sz w:val="20"/>
              </w:rPr>
              <w:t xml:space="preserve">-23 683,3 </w:t>
            </w:r>
          </w:p>
        </w:tc>
      </w:tr>
    </w:tbl>
    <w:p w:rsidR="00CE0757" w:rsidRPr="00CE0757" w:rsidRDefault="00CE0757" w:rsidP="00CE0757">
      <w:pPr>
        <w:spacing w:after="70"/>
        <w:ind w:left="703" w:right="626" w:hanging="10"/>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0"/>
          <w:vertAlign w:val="superscript"/>
          <w:lang w:eastAsia="ru-RU"/>
        </w:rPr>
        <w:t>1</w:t>
      </w:r>
      <w:r w:rsidRPr="00CE0757">
        <w:rPr>
          <w:rFonts w:ascii="Times New Roman" w:eastAsia="Times New Roman" w:hAnsi="Times New Roman" w:cs="Times New Roman"/>
          <w:color w:val="000000"/>
          <w:sz w:val="20"/>
          <w:lang w:eastAsia="ru-RU"/>
        </w:rPr>
        <w:t xml:space="preserve"> Номер в дужках означає місце ТНК у списку Global 500. </w:t>
      </w:r>
    </w:p>
    <w:p w:rsidR="00CE0757" w:rsidRPr="00CE0757" w:rsidRDefault="00CE0757" w:rsidP="00CE0757">
      <w:pPr>
        <w:spacing w:after="0"/>
        <w:ind w:left="708"/>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lastRenderedPageBreak/>
        <w:t xml:space="preserve">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Серед канадських ТНК є представники різних напрямів, але найбільше представників сфери фінансів та торгівлі: 4-ри банки, 3-ри страхові компанії, 2-ві мережі роздрібної торгівлі і компанія з управління активами. Унікальною є канадська автомобілебудівна компанія Magna International, що виробляє автомобілі не під своєю торговою маркою, а на замовлення інших автомобільних компаній. </w:t>
      </w:r>
    </w:p>
    <w:p w:rsidR="00CE0757" w:rsidRPr="00CE0757" w:rsidRDefault="00CE0757" w:rsidP="00CE0757">
      <w:pPr>
        <w:spacing w:after="5" w:line="268" w:lineRule="auto"/>
        <w:ind w:left="9" w:right="67" w:firstLine="69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Серед бразильських компаній слід виділити JBC, що є найбільшою м’ясопереробної компанією у світі. Гірничовидобувна, металургійна і енергетична компанія Vale є однією з найбільших ТНК, що займаються видобутком залізної руди. Вона забезпечує до 30,0 % загальносвітового експорту цієї сировини. </w:t>
      </w:r>
    </w:p>
    <w:p w:rsidR="00CE0757" w:rsidRPr="00CE0757" w:rsidRDefault="00CE0757" w:rsidP="00CE0757">
      <w:pPr>
        <w:spacing w:after="0" w:line="254" w:lineRule="auto"/>
        <w:ind w:right="69" w:firstLine="708"/>
        <w:jc w:val="both"/>
        <w:rPr>
          <w:rFonts w:ascii="Times New Roman" w:eastAsia="Times New Roman" w:hAnsi="Times New Roman" w:cs="Times New Roman"/>
          <w:color w:val="000000"/>
          <w:sz w:val="28"/>
          <w:lang w:eastAsia="ru-RU"/>
        </w:rPr>
      </w:pPr>
      <w:r w:rsidRPr="00CE0757">
        <w:rPr>
          <w:rFonts w:ascii="Times New Roman" w:eastAsia="Times New Roman" w:hAnsi="Times New Roman" w:cs="Times New Roman"/>
          <w:color w:val="000000"/>
          <w:sz w:val="28"/>
          <w:lang w:eastAsia="ru-RU"/>
        </w:rPr>
        <w:t xml:space="preserve">Мексиканська телекомунікаційна компанія </w:t>
      </w:r>
      <w:r w:rsidRPr="00CE0757">
        <w:rPr>
          <w:rFonts w:ascii="Times New Roman" w:eastAsia="Times New Roman" w:hAnsi="Times New Roman" w:cs="Times New Roman"/>
          <w:color w:val="000000"/>
          <w:sz w:val="30"/>
          <w:lang w:eastAsia="ru-RU"/>
        </w:rPr>
        <w:t>América Móvil, є найбільшою телекомунікаційною компанією на ринку країн Латинської Америки. Нафтова компанія Pemex, традиційно працює зі збитками, які у рейтингу за 2021 р. перевищили 20 млрд дол. Оскільки вона є державною компанією Мексики, то такі результати діяльності негативно впливають на державних бюджет цієї країни.</w:t>
      </w:r>
      <w:r w:rsidRPr="00CE0757">
        <w:rPr>
          <w:rFonts w:ascii="Times New Roman" w:eastAsia="Times New Roman" w:hAnsi="Times New Roman" w:cs="Times New Roman"/>
          <w:color w:val="000000"/>
          <w:sz w:val="28"/>
          <w:lang w:eastAsia="ru-RU"/>
        </w:rPr>
        <w:t xml:space="preserve"> </w:t>
      </w:r>
    </w:p>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C248D"/>
    <w:multiLevelType w:val="hybridMultilevel"/>
    <w:tmpl w:val="EDF093E8"/>
    <w:lvl w:ilvl="0" w:tplc="B0900C62">
      <w:start w:val="3"/>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4A7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04B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2B8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29B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C8A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C39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63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2FF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57"/>
    <w:rsid w:val="00410CEF"/>
    <w:rsid w:val="00510E85"/>
    <w:rsid w:val="00CE0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93D1"/>
  <w15:chartTrackingRefBased/>
  <w15:docId w15:val="{68F3C38E-F261-4563-98AA-258F0B74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E075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ta.fortune.com/global500/alimentation-couche-tard-301" TargetMode="External"/><Relationship Id="rId18" Type="http://schemas.openxmlformats.org/officeDocument/2006/relationships/hyperlink" Target="http://beta.fortune.com/global500/power-corp-of-canada-351" TargetMode="External"/><Relationship Id="rId26" Type="http://schemas.openxmlformats.org/officeDocument/2006/relationships/hyperlink" Target="http://beta.fortune.com/global500/toronto-dominion-bank-350" TargetMode="External"/><Relationship Id="rId39" Type="http://schemas.openxmlformats.org/officeDocument/2006/relationships/hyperlink" Target="http://beta.fortune.com/global500/jbs-185" TargetMode="External"/><Relationship Id="rId3" Type="http://schemas.openxmlformats.org/officeDocument/2006/relationships/settings" Target="settings.xml"/><Relationship Id="rId21" Type="http://schemas.openxmlformats.org/officeDocument/2006/relationships/hyperlink" Target="http://beta.fortune.com/global500/royal-bank-of-canada-297" TargetMode="External"/><Relationship Id="rId34" Type="http://schemas.openxmlformats.org/officeDocument/2006/relationships/hyperlink" Target="http://beta.fortune.com/global500/bank-of-nova-scotia-428" TargetMode="External"/><Relationship Id="rId42" Type="http://schemas.openxmlformats.org/officeDocument/2006/relationships/hyperlink" Target="http://beta.fortune.com/global500/vale-417" TargetMode="External"/><Relationship Id="rId47" Type="http://schemas.openxmlformats.org/officeDocument/2006/relationships/hyperlink" Target="http://beta.fortune.com/global500/banco-bradesco-209" TargetMode="External"/><Relationship Id="rId50" Type="http://schemas.openxmlformats.org/officeDocument/2006/relationships/hyperlink" Target="http://beta.fortune.com/global500/banco-do-brasil-115" TargetMode="External"/><Relationship Id="rId7" Type="http://schemas.openxmlformats.org/officeDocument/2006/relationships/hyperlink" Target="http://money.cnn.com/magazines/fortune/global500/2010/snapshots/387.html" TargetMode="External"/><Relationship Id="rId12" Type="http://schemas.openxmlformats.org/officeDocument/2006/relationships/hyperlink" Target="http://beta.fortune.com/global500/alimentation-couche-tard-301" TargetMode="External"/><Relationship Id="rId17" Type="http://schemas.openxmlformats.org/officeDocument/2006/relationships/hyperlink" Target="http://beta.fortune.com/global500/power-corp-of-canada-351" TargetMode="External"/><Relationship Id="rId25" Type="http://schemas.openxmlformats.org/officeDocument/2006/relationships/hyperlink" Target="http://beta.fortune.com/global500/toronto-dominion-bank-350" TargetMode="External"/><Relationship Id="rId33" Type="http://schemas.openxmlformats.org/officeDocument/2006/relationships/hyperlink" Target="http://beta.fortune.com/global500/bank-of-nova-scotia-428" TargetMode="External"/><Relationship Id="rId38" Type="http://schemas.openxmlformats.org/officeDocument/2006/relationships/hyperlink" Target="http://beta.fortune.com/global500/petrobras-58" TargetMode="External"/><Relationship Id="rId46" Type="http://schemas.openxmlformats.org/officeDocument/2006/relationships/hyperlink" Target="http://beta.fortune.com/global500/banco-bradesco-209" TargetMode="External"/><Relationship Id="rId2" Type="http://schemas.openxmlformats.org/officeDocument/2006/relationships/styles" Target="styles.xml"/><Relationship Id="rId16" Type="http://schemas.openxmlformats.org/officeDocument/2006/relationships/hyperlink" Target="http://beta.fortune.com/global500/power-corp-of-canada-351" TargetMode="External"/><Relationship Id="rId20" Type="http://schemas.openxmlformats.org/officeDocument/2006/relationships/hyperlink" Target="http://beta.fortune.com/global500/royal-bank-of-canada-297" TargetMode="External"/><Relationship Id="rId29" Type="http://schemas.openxmlformats.org/officeDocument/2006/relationships/hyperlink" Target="http://beta.fortune.com/global500/magna-international-306" TargetMode="External"/><Relationship Id="rId41" Type="http://schemas.openxmlformats.org/officeDocument/2006/relationships/hyperlink" Target="http://beta.fortune.com/global500/vale-417" TargetMode="External"/><Relationship Id="rId1" Type="http://schemas.openxmlformats.org/officeDocument/2006/relationships/numbering" Target="numbering.xml"/><Relationship Id="rId6" Type="http://schemas.openxmlformats.org/officeDocument/2006/relationships/hyperlink" Target="http://money.cnn.com/magazines/fortune/global500/2010/snapshots/387.html" TargetMode="External"/><Relationship Id="rId11" Type="http://schemas.openxmlformats.org/officeDocument/2006/relationships/hyperlink" Target="http://beta.fortune.com/global500/alimentation-couche-tard-301" TargetMode="External"/><Relationship Id="rId24" Type="http://schemas.openxmlformats.org/officeDocument/2006/relationships/hyperlink" Target="http://beta.fortune.com/global500/george-weston-274" TargetMode="External"/><Relationship Id="rId32" Type="http://schemas.openxmlformats.org/officeDocument/2006/relationships/hyperlink" Target="http://beta.fortune.com/global500/bank-of-nova-scotia-428" TargetMode="External"/><Relationship Id="rId37" Type="http://schemas.openxmlformats.org/officeDocument/2006/relationships/hyperlink" Target="http://beta.fortune.com/global500/petrobras-58" TargetMode="External"/><Relationship Id="rId40" Type="http://schemas.openxmlformats.org/officeDocument/2006/relationships/hyperlink" Target="http://beta.fortune.com/global500/jbs-185" TargetMode="External"/><Relationship Id="rId45" Type="http://schemas.openxmlformats.org/officeDocument/2006/relationships/hyperlink" Target="http://beta.fortune.com/global500/itau-unibanco-holding-159" TargetMode="External"/><Relationship Id="rId53" Type="http://schemas.openxmlformats.org/officeDocument/2006/relationships/theme" Target="theme/theme1.xml"/><Relationship Id="rId5" Type="http://schemas.openxmlformats.org/officeDocument/2006/relationships/hyperlink" Target="http://money.cnn.com/magazines/fortune/global500/2010/snapshots/387.html" TargetMode="External"/><Relationship Id="rId15" Type="http://schemas.openxmlformats.org/officeDocument/2006/relationships/hyperlink" Target="http://beta.fortune.com/global500/alimentation-couche-tard-301" TargetMode="External"/><Relationship Id="rId23" Type="http://schemas.openxmlformats.org/officeDocument/2006/relationships/hyperlink" Target="http://beta.fortune.com/global500/george-weston-274" TargetMode="External"/><Relationship Id="rId28" Type="http://schemas.openxmlformats.org/officeDocument/2006/relationships/hyperlink" Target="http://beta.fortune.com/global500/toronto-dominion-bank-350" TargetMode="External"/><Relationship Id="rId36" Type="http://schemas.openxmlformats.org/officeDocument/2006/relationships/hyperlink" Target="http://beta.fortune.com/global500/enbridge-407" TargetMode="External"/><Relationship Id="rId49" Type="http://schemas.openxmlformats.org/officeDocument/2006/relationships/hyperlink" Target="http://beta.fortune.com/global500/banco-do-brasil-115" TargetMode="External"/><Relationship Id="rId10" Type="http://schemas.openxmlformats.org/officeDocument/2006/relationships/hyperlink" Target="http://beta.fortune.com/global500/manulife-financial-394" TargetMode="External"/><Relationship Id="rId19" Type="http://schemas.openxmlformats.org/officeDocument/2006/relationships/hyperlink" Target="http://beta.fortune.com/global500/royal-bank-of-canada-297" TargetMode="External"/><Relationship Id="rId31" Type="http://schemas.openxmlformats.org/officeDocument/2006/relationships/hyperlink" Target="http://beta.fortune.com/global500/magna-international-306" TargetMode="External"/><Relationship Id="rId44" Type="http://schemas.openxmlformats.org/officeDocument/2006/relationships/hyperlink" Target="http://beta.fortune.com/global500/itau-unibanco-holding-15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eta.fortune.com/global500/manulife-financial-394" TargetMode="External"/><Relationship Id="rId14" Type="http://schemas.openxmlformats.org/officeDocument/2006/relationships/hyperlink" Target="http://beta.fortune.com/global500/alimentation-couche-tard-301" TargetMode="External"/><Relationship Id="rId22" Type="http://schemas.openxmlformats.org/officeDocument/2006/relationships/hyperlink" Target="http://beta.fortune.com/global500/george-weston-274" TargetMode="External"/><Relationship Id="rId27" Type="http://schemas.openxmlformats.org/officeDocument/2006/relationships/hyperlink" Target="http://beta.fortune.com/global500/toronto-dominion-bank-350" TargetMode="External"/><Relationship Id="rId30" Type="http://schemas.openxmlformats.org/officeDocument/2006/relationships/hyperlink" Target="http://beta.fortune.com/global500/magna-international-306" TargetMode="External"/><Relationship Id="rId35" Type="http://schemas.openxmlformats.org/officeDocument/2006/relationships/hyperlink" Target="http://beta.fortune.com/global500/enbridge-407" TargetMode="External"/><Relationship Id="rId43" Type="http://schemas.openxmlformats.org/officeDocument/2006/relationships/hyperlink" Target="http://beta.fortune.com/global500/itau-unibanco-holding-159" TargetMode="External"/><Relationship Id="rId48" Type="http://schemas.openxmlformats.org/officeDocument/2006/relationships/hyperlink" Target="http://beta.fortune.com/global500/banco-bradesco-209" TargetMode="External"/><Relationship Id="rId8" Type="http://schemas.openxmlformats.org/officeDocument/2006/relationships/hyperlink" Target="http://beta.fortune.com/global500/manulife-financial-394" TargetMode="External"/><Relationship Id="rId51" Type="http://schemas.openxmlformats.org/officeDocument/2006/relationships/hyperlink" Target="http://beta.fortune.com/global500/banco-do-brasil-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2022-09-04T16:54:00Z</dcterms:created>
  <dcterms:modified xsi:type="dcterms:W3CDTF">2022-09-04T16:57:00Z</dcterms:modified>
</cp:coreProperties>
</file>