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94" w:rsidRDefault="00BB6A94" w:rsidP="00BB6A94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“IL A CASSÉ LA MACHINE À SAUCISSES”</w:t>
      </w:r>
    </w:p>
    <w:p w:rsidR="00BB6A94" w:rsidRDefault="00BB6A94" w:rsidP="00BB6A94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Vocabulaire du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 monde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artistique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a rapport à l’art ou aux productions de l’art)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un engin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mystérieux (un outil, un instrument, une machine, un mécanisme)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surnommé vulgairement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(désigné, appelé dans le langage courant, non technique)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la machine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à saucisses (la chaîne à saucisses)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nécessiter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(exiger, réclamer)</w:t>
      </w:r>
    </w:p>
    <w:p w:rsid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appareillage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encombrant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encombre, occupe beaucoup de place, gêne, obstrue) </w:t>
      </w:r>
      <w:bookmarkStart w:id="0" w:name="_GoBack"/>
      <w:bookmarkEnd w:id="0"/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adaptable à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peut s’adapter)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cette merveille de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l’ingéniosité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(l’adresse (contr. maladresse) inventive) humaine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obéir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(se conformer) à un mécanisme très simple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atteindre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(parvenir à, arriver à, s’élever à) une certaine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notorité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(célébrité, réputation)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se contenter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(être satisfait de, ne rien demander de plus, s’accomoder, s’arranger) de répéter le style et l’iconographie qui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font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(assurent) son succès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être accusé de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faire fonctionner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(mettre en marche) la machine à saussices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être visé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(être l’objet d’une allusion, d’une critique) dans une affaire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mettre en cause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(mettre en doute, douter de) </w:t>
      </w:r>
      <w:r w:rsidRPr="009E35D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la sincérite</w:t>
      </w:r>
      <w:r w:rsidRPr="009E35D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(bonne foi, franchise)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ne pas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cesser 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(continuer à, de)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rabâcher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(ressasser) la même forme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les artistes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de variétés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(légers) actuels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l’une des plus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performantes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(efficace) et des plus ciniques machines à saucisses qui soient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utiliser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les techniques publicitaires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servent à la publicité)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il faut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posséder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(avoir en propre, détenir) un style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aussi bien que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(comme, de même que, autant que)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la révélation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(ce qui apparaît comme une connaissance nouvelle, la prise de conscience) de la différence qualitative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la façon dont nous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apparaît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(se manifeste, se montre, se présente) le monde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différence qui, s’il n’y avait pas l’art, resterait le secret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éternel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(perpetuel) de chacun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avoir conscience 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son style (s’apercevoir, se rendre compte de)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se copier, se plagier soi-même (se répéter)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lastRenderedPageBreak/>
        <w:t>« la supercherie »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(fraude, mystification, tromperie qui consiste à faire passer le faux pour le vrai) que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dénonçait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(dévoilait, démasquait) le peintre americain De Kooning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La machine à saucisses lorsqu’un peintre n’a plus rien à peindre peut alors être comparée à la planche à billets lorsqu’un gouvernement n’a plus un sou en caisse.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avoir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une vision du monde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(une idée, une conception)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un style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truculent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(riche, vif, savoureux, pittoresque)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mélange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(assemblage, réunion)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les emprunts aux légendes et aux contes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juifs ashkénazes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*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les apports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(contribution) des avant-gardes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des couleurs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flamboyantes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flamboie, étincelant)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un style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singulier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(particulier, spécial) et facilement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repérable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(reconnaissable)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faire de ses personnages et de son bestiaire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une sorte 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(une espèce de) signature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le sens se perd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ce n’est pas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sans dommage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 (sans détriment, sans dégat) puisque...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ce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ressassement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(répétition lassante) entraîne une transformation de son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trait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(caractère, manière) qui devient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mou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(amorphe, qui manque de vigueur – </w:t>
      </w:r>
      <w:r w:rsidRPr="009E35DD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et de son dessin qui par réaction devient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raide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(qui manque de souplesse, rigide)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malgré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(en dépit de, cependant) ses couleurs matissiennes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illustrer le genre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cotonneux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(amorphe, qui manque de vigueur)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montrer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une mièvrerie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9E35DD">
        <w:rPr>
          <w:rFonts w:ascii="Times New Roman" w:hAnsi="Times New Roman" w:cs="Times New Roman"/>
          <w:sz w:val="28"/>
          <w:szCs w:val="28"/>
        </w:rPr>
        <w:t>претенциозность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: grâce (</w:t>
      </w:r>
      <w:r w:rsidRPr="009E35DD">
        <w:rPr>
          <w:rFonts w:ascii="Times New Roman" w:hAnsi="Times New Roman" w:cs="Times New Roman"/>
          <w:sz w:val="28"/>
          <w:szCs w:val="28"/>
        </w:rPr>
        <w:t>грациозность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) puerile (</w:t>
      </w:r>
      <w:r w:rsidRPr="009E35DD">
        <w:rPr>
          <w:rFonts w:ascii="Times New Roman" w:hAnsi="Times New Roman" w:cs="Times New Roman"/>
          <w:sz w:val="28"/>
          <w:szCs w:val="28"/>
        </w:rPr>
        <w:t>наивная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), fade (</w:t>
      </w:r>
      <w:r w:rsidRPr="009E35DD">
        <w:rPr>
          <w:rFonts w:ascii="Times New Roman" w:hAnsi="Times New Roman" w:cs="Times New Roman"/>
          <w:sz w:val="28"/>
          <w:szCs w:val="28"/>
        </w:rPr>
        <w:t>пошлая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) et recherchée)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mais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pour autant 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>(malgré cela)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l’oeuvre de Сhagall ne peut se résumer aux années 1910-1920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d’abord, ensuite...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des tableaux très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moyens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(ni bons ni mauvais, médiocres) / des oeuvres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extraordinaires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(remarquables, exceptionnelles)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les bruns du ciel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largement brossés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(exécutés, peints) s’opposent au blanc pâteux de la gueule du bouc, au jaune épais des flammes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des flammes s’échappant des toits des maisons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incendiées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(mises en feu)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les personnages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fuyant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(fuir – s’éloigner en toute hâte pour échapper à qqch de menaçant) le drame tout en courbes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sont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hâtivement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(avec précipitation, sans soin) dessinés d’un trait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nerveux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(impatient, agité)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au loin, chématique,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à peine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(presque pas, très peu) esquissé, un Christ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dominer la scène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lastRenderedPageBreak/>
        <w:t>aucune tentation décorative, aucune facilité iconographique mais plutôt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>les souvenirs enfouis resurgissant soudain, des images de la Russie, de Vitebsk peut être trop longtemps retenues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arrêter parfois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(stopper de temps en temps) la machine à saucisses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retrouver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(trouver de nouveau, recouvrer) sa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vision du monde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(conception du monde)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des instants rares et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bouleversants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(très émouvants)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leur existence prouve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au moins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(seulement – appliqué à une condition, atténue ou corrige ce que l’on déplore)</w:t>
      </w:r>
    </w:p>
    <w:p w:rsidR="00BB6A94" w:rsidRPr="009E35DD" w:rsidRDefault="00BB6A94" w:rsidP="009E35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s’il fut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roublard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(fam. – malin, rusé), Chagall ne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sombra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(couler, s’enfoncer ou se perdre) jamais dans le cynisme </w:t>
      </w:r>
      <w:r w:rsidRPr="009E35DD">
        <w:rPr>
          <w:rFonts w:ascii="Times New Roman" w:hAnsi="Times New Roman" w:cs="Times New Roman"/>
          <w:sz w:val="28"/>
          <w:szCs w:val="28"/>
          <w:u w:val="single"/>
          <w:lang w:val="fr-FR"/>
        </w:rPr>
        <w:t>affiché</w:t>
      </w:r>
      <w:r w:rsidRPr="009E35DD">
        <w:rPr>
          <w:rFonts w:ascii="Times New Roman" w:hAnsi="Times New Roman" w:cs="Times New Roman"/>
          <w:sz w:val="28"/>
          <w:szCs w:val="28"/>
          <w:lang w:val="fr-FR"/>
        </w:rPr>
        <w:t xml:space="preserve"> (montré publiquement et avec affectation) par nos actuels artistes de variétés</w:t>
      </w:r>
    </w:p>
    <w:p w:rsidR="00BB6A94" w:rsidRDefault="00BB6A94" w:rsidP="00BB6A9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</w:t>
      </w:r>
    </w:p>
    <w:p w:rsidR="00BB6A94" w:rsidRPr="009E35DD" w:rsidRDefault="00BB6A94" w:rsidP="00BB6A94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35DD">
        <w:rPr>
          <w:rStyle w:val="citation"/>
          <w:sz w:val="28"/>
          <w:szCs w:val="28"/>
          <w:lang w:val="fr-FR"/>
        </w:rPr>
        <w:t xml:space="preserve">*les </w:t>
      </w:r>
      <w:hyperlink r:id="rId5" w:tooltip="Juifs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Juifs</w:t>
        </w:r>
      </w:hyperlink>
      <w:r w:rsidRPr="009E35DD">
        <w:rPr>
          <w:rStyle w:val="citation"/>
          <w:sz w:val="28"/>
          <w:szCs w:val="28"/>
          <w:lang w:val="fr-FR"/>
        </w:rPr>
        <w:t xml:space="preserve"> de l'Europe occidentale, centrale et orientale qui sont d'origine et de langue germaniques par opposition à ceux qui sont originaires d'Espagne et sont dits </w:t>
      </w:r>
      <w:hyperlink r:id="rId6" w:tooltip="Séfarade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séfarades</w:t>
        </w:r>
      </w:hyperlink>
      <w:r w:rsidRPr="009E35DD">
        <w:rPr>
          <w:rStyle w:val="citation"/>
          <w:sz w:val="28"/>
          <w:szCs w:val="28"/>
          <w:lang w:val="fr-FR"/>
        </w:rPr>
        <w:t xml:space="preserve"> </w:t>
      </w:r>
      <w:r w:rsidRPr="009E35DD">
        <w:rPr>
          <w:sz w:val="28"/>
          <w:szCs w:val="28"/>
          <w:lang w:val="fr-FR"/>
        </w:rPr>
        <w:t xml:space="preserve">et aux Juifs descendant des communautés juives des régions proche et moyen-orientales dits </w:t>
      </w:r>
      <w:hyperlink r:id="rId7" w:tooltip="Juifs Mizrahim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Mizrahim</w:t>
        </w:r>
      </w:hyperlink>
      <w:r w:rsidRPr="009E35DD">
        <w:rPr>
          <w:sz w:val="28"/>
          <w:szCs w:val="28"/>
          <w:lang w:val="fr-FR"/>
        </w:rPr>
        <w:t xml:space="preserve">. Leur nom vient du </w:t>
      </w:r>
      <w:hyperlink r:id="rId8" w:tooltip="Patriarches bibliques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patriarche biblique</w:t>
        </w:r>
      </w:hyperlink>
      <w:r w:rsidRPr="009E35DD">
        <w:rPr>
          <w:sz w:val="28"/>
          <w:szCs w:val="28"/>
          <w:lang w:val="fr-FR"/>
        </w:rPr>
        <w:t xml:space="preserve"> </w:t>
      </w:r>
      <w:hyperlink r:id="rId9" w:tooltip="Ashkenaz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Ashkenaz</w:t>
        </w:r>
      </w:hyperlink>
      <w:r w:rsidRPr="009E35DD">
        <w:rPr>
          <w:sz w:val="28"/>
          <w:szCs w:val="28"/>
          <w:lang w:val="fr-FR"/>
        </w:rPr>
        <w:t xml:space="preserve">. Les communautés ashkénazes se sont principalement concentrées en </w:t>
      </w:r>
      <w:hyperlink r:id="rId10" w:tooltip="Allemagne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Allemagne</w:t>
        </w:r>
      </w:hyperlink>
      <w:r w:rsidRPr="009E35DD">
        <w:rPr>
          <w:sz w:val="28"/>
          <w:szCs w:val="28"/>
          <w:lang w:val="fr-FR"/>
        </w:rPr>
        <w:t xml:space="preserve">, en </w:t>
      </w:r>
      <w:hyperlink r:id="rId11" w:tooltip="Pologne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Pologne</w:t>
        </w:r>
      </w:hyperlink>
      <w:r w:rsidRPr="009E35DD">
        <w:rPr>
          <w:sz w:val="28"/>
          <w:szCs w:val="28"/>
          <w:lang w:val="fr-FR"/>
        </w:rPr>
        <w:t xml:space="preserve">, en </w:t>
      </w:r>
      <w:hyperlink r:id="rId12" w:tooltip="Russie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Russie</w:t>
        </w:r>
      </w:hyperlink>
      <w:r w:rsidRPr="009E35DD">
        <w:rPr>
          <w:sz w:val="28"/>
          <w:szCs w:val="28"/>
          <w:lang w:val="fr-FR"/>
        </w:rPr>
        <w:t xml:space="preserve">, dans l'ancien </w:t>
      </w:r>
      <w:hyperlink r:id="rId13" w:tooltip="Empire austro-hongrois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Empire austro-hongrois</w:t>
        </w:r>
      </w:hyperlink>
      <w:r w:rsidRPr="009E35DD">
        <w:rPr>
          <w:sz w:val="28"/>
          <w:szCs w:val="28"/>
          <w:lang w:val="fr-FR"/>
        </w:rPr>
        <w:t xml:space="preserve"> et, de façon plus clairsemée, dans le reste de l'</w:t>
      </w:r>
      <w:hyperlink r:id="rId14" w:tooltip="Europe centrale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Europe centrale</w:t>
        </w:r>
      </w:hyperlink>
      <w:r w:rsidRPr="009E35DD">
        <w:rPr>
          <w:sz w:val="28"/>
          <w:szCs w:val="28"/>
          <w:lang w:val="fr-FR"/>
        </w:rPr>
        <w:t xml:space="preserve"> et </w:t>
      </w:r>
      <w:hyperlink r:id="rId15" w:tooltip="Europe de l'Est" w:history="1">
        <w:r w:rsidRPr="009E35DD">
          <w:rPr>
            <w:rStyle w:val="a3"/>
            <w:color w:val="auto"/>
            <w:sz w:val="28"/>
            <w:szCs w:val="28"/>
            <w:u w:val="none"/>
            <w:lang w:val="fr-FR"/>
          </w:rPr>
          <w:t>orientale</w:t>
        </w:r>
      </w:hyperlink>
      <w:r w:rsidRPr="009E35DD">
        <w:rPr>
          <w:sz w:val="28"/>
          <w:szCs w:val="28"/>
          <w:lang w:val="fr-FR"/>
        </w:rPr>
        <w:t>.</w:t>
      </w:r>
    </w:p>
    <w:sectPr w:rsidR="00BB6A94" w:rsidRPr="009E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610C"/>
    <w:multiLevelType w:val="hybridMultilevel"/>
    <w:tmpl w:val="0CE03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6"/>
    <w:rsid w:val="00665049"/>
    <w:rsid w:val="00704C51"/>
    <w:rsid w:val="009A0396"/>
    <w:rsid w:val="009E35DD"/>
    <w:rsid w:val="00B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3558-786D-45DB-BB45-83004E23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665049"/>
  </w:style>
  <w:style w:type="character" w:styleId="a3">
    <w:name w:val="Hyperlink"/>
    <w:basedOn w:val="a0"/>
    <w:uiPriority w:val="99"/>
    <w:semiHidden/>
    <w:unhideWhenUsed/>
    <w:rsid w:val="00665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atriarches_bibliques" TargetMode="External"/><Relationship Id="rId13" Type="http://schemas.openxmlformats.org/officeDocument/2006/relationships/hyperlink" Target="https://fr.wikipedia.org/wiki/Empire_austro-hongro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Juifs_Mizrahim" TargetMode="External"/><Relationship Id="rId12" Type="http://schemas.openxmlformats.org/officeDocument/2006/relationships/hyperlink" Target="https://fr.wikipedia.org/wiki/Russ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%C3%A9farade" TargetMode="External"/><Relationship Id="rId11" Type="http://schemas.openxmlformats.org/officeDocument/2006/relationships/hyperlink" Target="https://fr.wikipedia.org/wiki/Pologne" TargetMode="External"/><Relationship Id="rId5" Type="http://schemas.openxmlformats.org/officeDocument/2006/relationships/hyperlink" Target="https://fr.wikipedia.org/wiki/Juifs" TargetMode="External"/><Relationship Id="rId15" Type="http://schemas.openxmlformats.org/officeDocument/2006/relationships/hyperlink" Target="https://fr.wikipedia.org/wiki/Europe_de_l%27Est" TargetMode="External"/><Relationship Id="rId10" Type="http://schemas.openxmlformats.org/officeDocument/2006/relationships/hyperlink" Target="https://fr.wikipedia.org/wiki/Allema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shkenaz" TargetMode="External"/><Relationship Id="rId14" Type="http://schemas.openxmlformats.org/officeDocument/2006/relationships/hyperlink" Target="https://fr.wikipedia.org/wiki/Europe_centr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909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2019-03-25T16:47:00Z</dcterms:created>
  <dcterms:modified xsi:type="dcterms:W3CDTF">2019-03-25T17:12:00Z</dcterms:modified>
</cp:coreProperties>
</file>