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8C16" w14:textId="26194714" w:rsidR="00E01E97" w:rsidRPr="00B74706" w:rsidRDefault="0091061E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bookmarkStart w:id="0" w:name="_Hlk39361993"/>
      <w:bookmarkStart w:id="1" w:name="_Hlk39363119"/>
      <w:r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Лекція </w:t>
      </w:r>
      <w:r w:rsidR="00041A79"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>11</w:t>
      </w:r>
      <w:r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. </w:t>
      </w:r>
      <w:r w:rsidR="00041A79"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>Х</w:t>
      </w:r>
      <w:r w:rsidR="003448CB"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>арактеристики антикорупційної культури на тлі Західної</w:t>
      </w:r>
      <w:r w:rsidR="00041A79"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="003448CB"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>традиці</w:t>
      </w:r>
      <w:r w:rsidR="00041A79"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>ї</w:t>
      </w:r>
      <w:r w:rsidR="003448CB"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права.</w:t>
      </w:r>
    </w:p>
    <w:bookmarkEnd w:id="0"/>
    <w:p w14:paraId="43C674A2" w14:textId="122AF0A2" w:rsidR="0000795C" w:rsidRPr="00B74706" w:rsidRDefault="00BA4ED8" w:rsidP="00B74706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>©</w:t>
      </w:r>
      <w:r w:rsidR="00257576"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> </w:t>
      </w:r>
      <w:proofErr w:type="spellStart"/>
      <w:r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>Макаренков</w:t>
      </w:r>
      <w:proofErr w:type="spellEnd"/>
      <w:r w:rsidRPr="00B7470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О. Л., 2020</w:t>
      </w:r>
    </w:p>
    <w:p w14:paraId="4AC1065A" w14:textId="77777777" w:rsidR="00003B49" w:rsidRPr="00B74706" w:rsidRDefault="00003B49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14:paraId="52BECA47" w14:textId="6EC872DD" w:rsidR="0074568D" w:rsidRPr="00B74706" w:rsidRDefault="0074568D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Базовим у розкритті питань предмету антикорупційної культури на тлі Західної, Східної та інших традицій права став органічно поєднаний з історичним підходом (діахронією) описовий (синхронний) підхід, який, окрім догматичного методу, спирається також на діалектичну і формальну логіки, історико-правовий,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компаративно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-правовий, аксіологічний,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герменевчтичний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та інші методи.</w:t>
      </w:r>
    </w:p>
    <w:p w14:paraId="6ECA5392" w14:textId="77777777" w:rsidR="002C6DCF" w:rsidRPr="00B74706" w:rsidRDefault="00CE4974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>Перманентні соціальн</w:t>
      </w:r>
      <w:bookmarkStart w:id="2" w:name="_GoBack"/>
      <w:bookmarkEnd w:id="2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і трансформації не вичерпуються змінами ідеологічних гасел та розмовами про свободу, прогрес, демократію, складаючи по суті незмінну егоїстичну природу людини. Відповідно залишаємось у межах парадигми неспростовних переваг сучасної правової доктрини про відповідальну демократію та стійкий розвиток, </w:t>
      </w:r>
    </w:p>
    <w:p w14:paraId="1647A78B" w14:textId="77777777" w:rsidR="00E4383F" w:rsidRPr="00B74706" w:rsidRDefault="00CE4974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змістовної пропаганди сучасних владних еліт та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антроповимірної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роботи створених ними політичних інститутів, які спираються на загальнолюдські цінності, ухвалюючи рішення, подібної правової природи. Будучи фундаментально типовим у стародавні часи і на сьогодні право інструмент управління пануючих над підлеглими. Водночас сучасні умови розвитку передбачають максимальне врахування конструктивної енергії (волі, розуму і почуттів) кожного. Інакше прогрес не відбувається. </w:t>
      </w:r>
    </w:p>
    <w:p w14:paraId="17F80916" w14:textId="77777777" w:rsidR="00E4383F" w:rsidRPr="00B74706" w:rsidRDefault="00CE4974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Також під час осмислення </w:t>
      </w:r>
      <w:r w:rsidR="00B91503" w:rsidRPr="00B74706">
        <w:rPr>
          <w:rFonts w:asciiTheme="majorBidi" w:hAnsiTheme="majorBidi" w:cstheme="majorBidi"/>
          <w:sz w:val="28"/>
          <w:szCs w:val="28"/>
          <w:lang w:val="uk-UA"/>
        </w:rPr>
        <w:t>феномену доброчесності чиновників</w:t>
      </w: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зважаємо на такі закономірності: </w:t>
      </w:r>
    </w:p>
    <w:p w14:paraId="78F58CB3" w14:textId="77777777" w:rsidR="00E4383F" w:rsidRPr="00B74706" w:rsidRDefault="00CE4974" w:rsidP="00B7470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4706">
        <w:rPr>
          <w:rFonts w:asciiTheme="majorBidi" w:hAnsiTheme="majorBidi" w:cstheme="majorBidi"/>
          <w:sz w:val="28"/>
          <w:szCs w:val="28"/>
        </w:rPr>
        <w:t>абстрактність відносин між сучасними людьми зростає;</w:t>
      </w:r>
    </w:p>
    <w:p w14:paraId="167F2230" w14:textId="3AE4F671" w:rsidR="00E4383F" w:rsidRPr="00B74706" w:rsidRDefault="00CE4974" w:rsidP="00B7470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4706">
        <w:rPr>
          <w:rFonts w:asciiTheme="majorBidi" w:hAnsiTheme="majorBidi" w:cstheme="majorBidi"/>
          <w:sz w:val="28"/>
          <w:szCs w:val="28"/>
        </w:rPr>
        <w:t xml:space="preserve">інформаційні та інші інноваційні технології послаблюють цивілізаційну самодостатність людини, посилюючи її залежність та підвищуючи вразливість до різноманітних ризиків; </w:t>
      </w:r>
    </w:p>
    <w:p w14:paraId="36262B75" w14:textId="7F23ABB4" w:rsidR="00CE4974" w:rsidRPr="00B74706" w:rsidRDefault="00CE4974" w:rsidP="00B7470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4706">
        <w:rPr>
          <w:rFonts w:asciiTheme="majorBidi" w:hAnsiTheme="majorBidi" w:cstheme="majorBidi"/>
          <w:sz w:val="28"/>
          <w:szCs w:val="28"/>
        </w:rPr>
        <w:t>невпинно зростає кількість людей, розвиток яких або не відбувається, або йде всупереч законам природи.</w:t>
      </w:r>
    </w:p>
    <w:p w14:paraId="15885889" w14:textId="430E8155" w:rsidR="00FC5E87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В умовах активізації професійної комунікації юристів, залучення науковців до атестації практикуючих юристів і для надання наукових висновків, а також повсюдного запозичення низки юридичних термінів </w:t>
      </w:r>
      <w:bookmarkEnd w:id="1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з інших, зокрема англомовних правових систем в процесі об’єднання держав у політико-економічні союзи (наприклад, на підставі Угоди про асоціацію, підписаної 21.03.2014 р. і 27.06.2014 р. Україною з Європейським Союзом, Європейським співтовариством з атомної енергії і їхніми державами-членами), фінансових ринків, уніфікації правил правоохоронної діяльності і національної безпеки, торгівельних відносин й інших сфер міжкультурного спілкування, обумовлених глобалізаційними процесами, постають проблеми розуміння особливостей формування юридичної термінології в сучасній англійській мові та механізму адекватної передачі змісту понять таких термінів на українську мову. </w:t>
      </w:r>
    </w:p>
    <w:p w14:paraId="2AB938A4" w14:textId="44E93DC2" w:rsidR="00FC5E87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Першими кроками у створенні цього механізму стає осмислення загальних засад генезису вказаної термінології, зокрема теорії права. Встановлення особливостей семантичної структури юридичних термінів та їхніх граматико-синтаксичних взаємозв’язків у текстах (основне і периферійне смислове навантаження; спільні та відмінні риси у лексичних засобах відображення понять права тощо) сприятиме успішному осмисленню і застосуванню їх носіями української та англійської мов. Термінологічна лексика посідає помітне місце у словниковому складі (виступає підсистемою) зазначених мов як таких, що мають високорозвинену і складу літературну мову. </w:t>
      </w:r>
    </w:p>
    <w:p w14:paraId="1EBEC040" w14:textId="3415D716" w:rsidR="00FC5E87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У сучасних умовах, коли швидко розвивається законодавча діяльність, у тому числі юридична термінологія, один із найважливіших напрямів впливу юридичної теорії на практику, точність і ясність юридичних формулювань, чітке їх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мовне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втілення, правильне вживання правничої термінології визначає ефективність дії законодавства, сприяє зміцненню законності й дисципліни, охорони й забезпечення прав особистості. Особливо в умовах, коли законодавець підтримує тенденцію до розширення судового розсуду, </w:t>
      </w:r>
      <w:r w:rsidRPr="00B74706">
        <w:rPr>
          <w:rFonts w:asciiTheme="majorBidi" w:hAnsiTheme="majorBidi" w:cstheme="majorBidi"/>
          <w:sz w:val="28"/>
          <w:szCs w:val="28"/>
          <w:lang w:val="uk-UA"/>
        </w:rPr>
        <w:lastRenderedPageBreak/>
        <w:t>використовуючи висловлювання, які характерні для принципів, соціальних цілей і стандартів. Огляд наявних на сьогоднішній день підходів до визначення та вивчення термінів уможливив виділення наступних підходів до вивчення юридичної термінології.</w:t>
      </w:r>
    </w:p>
    <w:p w14:paraId="5863D30C" w14:textId="77777777" w:rsidR="00FC5E87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Відповідно до правил нормативного підходу, формування нових, трансформації і осмислення наявних юридичних термінів відбувається через визначення терміну як слова чи словосполучення, що має спеціальне значення, виражає та формулює професійне поняття та використовується в процесі пізнання та освоєння наукових та професійно-технічних об’єктів та відношень між ними. </w:t>
      </w:r>
    </w:p>
    <w:p w14:paraId="16E21478" w14:textId="2488544D" w:rsidR="00FC5E87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>Цілу низку вимог до термінологічної лексики, а саме: однозначність, точність, системність, вмотивованість. Послідовники нормативного підходу розглядають термін не як динамічний елемент мови, а як статичний, внаслідок чого з часом ця теорія критикувалася, оскільки, термін не завжди є однозначним, позначає декілька понять і може входити до різних терміносистем.</w:t>
      </w:r>
    </w:p>
    <w:p w14:paraId="7A38026D" w14:textId="77777777" w:rsidR="00FC5E87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Вирішити ці спірні питання покликаний функціональний / дескриптивний підхід до обрання терміну для позначення поняття. За його змістом, юридична термінологічна лексика – це слова зі спеціальними функціями (номінативною;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сигніфікативною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чи семасіологічною; комунікативною; когнітивною – власне притаманними лексичним одиницям загальновживаної мови), що постійно змінюються у складі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мовної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системи. Як і будь-який інший елемент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мовної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системи, термін модифікується, може втратити свою однозначність, отримати ряд синонімів, перейти в розряд загальновживаної лексики тощо. </w:t>
      </w:r>
    </w:p>
    <w:p w14:paraId="51C210B3" w14:textId="77777777" w:rsidR="00FC5E87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>І нарешті системний підхід до визначення та вивчення термінологічної лексики права основну увагу акцентує на існуванні терміну у складі певної впорядкованої системи і його пов’язаності з іншими елементами терміносистеми певними відношеннями.</w:t>
      </w:r>
    </w:p>
    <w:p w14:paraId="4D4F5CA7" w14:textId="77777777" w:rsidR="007959A1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Найбільш поширеною тенденцією є об’єднання двох аспектів, а саме – функціонального та системного – для повного висвітлення особливостей тієї чи іншої терміносистеми. Серед основних завдань, які вирішуються у цих дослідженнях, відзначимо, зокрема, </w:t>
      </w:r>
    </w:p>
    <w:p w14:paraId="070755C3" w14:textId="77777777" w:rsidR="007959A1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розробку комплексної моделі аналізу термінів для застосування в лексикографічній практиці юристів; </w:t>
      </w:r>
    </w:p>
    <w:p w14:paraId="0C6867E5" w14:textId="77777777" w:rsidR="007959A1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вивчення структурних, семантичних та словотвірних особливостей юридичних термінів; </w:t>
      </w:r>
    </w:p>
    <w:p w14:paraId="1D077BAC" w14:textId="3F71D0EA" w:rsidR="00FC5E87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>аналіз системних відношень всередині терміносистеми права; систематизацію окремих груп правничих термінів за семантичною ознакою; встановлення способів виникнення, мотивації й періодизації виникнення термінологічної лексики права, а також вивчення функціональних характеристик цих одиниць; виявлення зв’язку змістовних та функціональних параметрів юридичних термінів; характеристику процесів детермінологізації всередині системи мови права; розробку тезауруса термінології юридичної сфери.</w:t>
      </w:r>
    </w:p>
    <w:p w14:paraId="1FDF8FEB" w14:textId="77777777" w:rsidR="007959A1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На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рубежі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ХХ-ХХІ ст.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антропоцентрична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парадигма обумовила активізацію досліджень галузевих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термінологій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14:paraId="43202464" w14:textId="5EA0E689" w:rsidR="00FC5E87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з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когнітивно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-лінгвістичних позицій. Когнітивна лінгвістика як напрям, скерований на дослідження способів концептуалізації й категоризації певною мовою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інтеріоризованої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дійсності та внутрішнього рефлексивного досвіду. Сучасна когнітивна лінгвістика, розглядаючи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мовну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творчість у нерозривному зв’язку з процесами пізнання, мислення і свідомості, переходить на глибинний, концептуальний рівень її осмислення. Такий підхід до вивчення природи людського пізнання «уможливлює встановлення тісних взаємозв’язків між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мовною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і концептуальною картинами світу». </w:t>
      </w:r>
    </w:p>
    <w:p w14:paraId="4320DEEE" w14:textId="6F7DBF5B" w:rsidR="00FC5E87" w:rsidRPr="00B74706" w:rsidRDefault="00FC5E87" w:rsidP="00B747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Застосування методів когнітивного аналізу до вивчення терміносистем дає змогу в новому ракурсі розглядати проблеми традиційного термінознавства. Зокрема, при розгляді терміносистеми права з позицій когнітивного підходу вихідним є положення про те, що на відміну від слова, </w:t>
      </w:r>
      <w:r w:rsidRPr="00B74706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яке є носієм повсякденного знання, термін слугує засобом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мовного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вираження наукового або професійного знання юриста, а терміносистема виконує функцію маніфестації його наукової, професійної і/або пересічної картини світу. У межах когнітивної парадигми юридична термінологія розглядається як результат когнітивної діяльності спеціаліста, що полягає в концептуалізації та вербалізації професійних знань у галузі юриспруденції. Рівень концептуалізації залежить від професійної компетенції спеціаліста, а також від рівня розвитку тієї або іншої галузі права. Лінгвісти права почали усвідомлювати, що в терміні відбиваються і факти, що спостерігаються дослідником, і їхнє теоретичне осмислення. Когнітивний підхід спирається, зокрема, на енциклопедичну семантику, яка не протиставляє лінгвістичні та екстралінгвістичні знання і розглядає значення як таке, що нагадує радше енциклопедію, ніж словник. Отже, значення сприймається не як сукупність певних рис, а як динамічний розумовий процес, який відбувається під час дискурсивної діяльності. Лексична одиниця у праві не є чимось, що містить у собі сталу, обмежену і лише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мовну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семантичну репрезентацію. Навпаки, вона відкриває доступ до невизначено великої кількості концепцій, концептуальних систем, структур знань, відбір яких здійснюється в гнучкий спосіб залежно від контексту. Когнітивний підхід передбачає розуміння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терміна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як концепту.</w:t>
      </w:r>
    </w:p>
    <w:p w14:paraId="2BA428B0" w14:textId="04AE2FA6" w:rsidR="00ED36F6" w:rsidRPr="00B74706" w:rsidRDefault="00ED36F6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Одними з найважливіших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філософсько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-правових проблем сучасних теоретичних досліджень є проблеми дослідження генезису, природи й сутності доброчесності і права, їхніх вихідних онтологічних підстав. Розгортання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епістеміологічного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 потенціалу вищеописаних методологічних підходів відбувається на тлі історичних фактів, які дозволяють простежувати логіку розвитку права взагалі. Поза історичним контекстом, що зв'язує явища і процеси сучасності з тими явищами і процесами, які їм передували, так само як і з тими, які можуть виникнути на їх основі у більш-менш віддаленій перспективі, неможливо пізнати саму цю сучасність. І це цілком природно, оскільки в суспільстві завжди є залишки минулого, основи сучасного і зачатки </w:t>
      </w:r>
      <w:r w:rsidRPr="00B74706">
        <w:rPr>
          <w:rFonts w:asciiTheme="majorBidi" w:hAnsiTheme="majorBidi" w:cstheme="majorBidi"/>
          <w:sz w:val="28"/>
          <w:szCs w:val="28"/>
          <w:lang w:val="uk-UA"/>
        </w:rPr>
        <w:lastRenderedPageBreak/>
        <w:t>майбутнього. Будь-яке сучасне явище або процес має своє коріння в минулому, яке через відображення в цьому спрямований в майбутнє.</w:t>
      </w:r>
    </w:p>
    <w:p w14:paraId="1DCDE6AC" w14:textId="77777777" w:rsidR="00F81BD8" w:rsidRPr="00B74706" w:rsidRDefault="00ED36F6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>Історичний підхід передбачає розкриття антикорупційних трансформацій законодавства і держави у діахронії, їхнє значення для подій/діянь та їхніх результатів, а також відтворення на цій основі закономірностей історичного процесу досягнення поставлених цілей соціального прогресу у 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найстисліші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терміни з найбільшою економією ресурсів. </w:t>
      </w:r>
    </w:p>
    <w:p w14:paraId="04035BA2" w14:textId="7F170B67" w:rsidR="00ED36F6" w:rsidRPr="00B74706" w:rsidRDefault="00ED36F6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Наприклад, історико-правові відомості дозволяють пояснити генезис феномену доброчесності чиновника органу публічної влади з позицій його номінації, аксіологічних підстав і меж здійснення, а саме: терміни його змісту мають переважно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романо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>-германське походження, діє у межах парадигми демократичних та правових цінностей, публічні повноваження здійснюються у визначених за допомогою закону межах з обов’язковим задоволенням публічного інтересу.</w:t>
      </w:r>
    </w:p>
    <w:p w14:paraId="415451ED" w14:textId="1269E369" w:rsidR="00F81BD8" w:rsidRPr="00B74706" w:rsidRDefault="00F81BD8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Логіка історії формування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равових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засад доброчесності в Україні Радянського періоду розвитку:</w:t>
      </w:r>
    </w:p>
    <w:p w14:paraId="20D3CA6B" w14:textId="19A1A667" w:rsidR="00F81BD8" w:rsidRPr="00B74706" w:rsidRDefault="00F81BD8" w:rsidP="00B747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4706">
        <w:rPr>
          <w:rFonts w:asciiTheme="majorBidi" w:hAnsiTheme="majorBidi" w:cstheme="majorBidi"/>
          <w:sz w:val="28"/>
          <w:szCs w:val="28"/>
        </w:rPr>
        <w:t>До  1993 р.  у  країні  фактично  не  було  законодавчої бази боротьби з корупцією.</w:t>
      </w:r>
    </w:p>
    <w:p w14:paraId="780925FD" w14:textId="69796AF9" w:rsidR="00F81BD8" w:rsidRPr="00B74706" w:rsidRDefault="00F81BD8" w:rsidP="00B747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4706">
        <w:rPr>
          <w:rFonts w:asciiTheme="majorBidi" w:hAnsiTheme="majorBidi" w:cstheme="majorBidi"/>
          <w:sz w:val="28"/>
          <w:szCs w:val="28"/>
        </w:rPr>
        <w:t>В СРСР не визнавався факт наявності корупції як суспільного інституту, кримінально караним було  тільки хабарництво, що існувало на індивідуальному рівні.</w:t>
      </w:r>
    </w:p>
    <w:p w14:paraId="642BACC7" w14:textId="77777777" w:rsidR="00ED36F6" w:rsidRPr="00B74706" w:rsidRDefault="00ED36F6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Отриманий історичний аспект доброчесності дозволяє робити виважені оцінки сучасного стану та пропонувати варіанти для успішних трансформацій на майбутнє. Відповідно до історичної школи право не просто комплекс норм, а жива і реальна складова соціального і економічного устрою суспільства. У цьому устрої право не самодостатнє, воно відображає традиційні суспільні цінності, які надають значення і сенсу такому суспільству; стає практичним віддзеркаленням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філософсько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-методологічної проблеми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універсалій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 та </w:t>
      </w:r>
      <w:proofErr w:type="spellStart"/>
      <w:r w:rsidRPr="00B74706">
        <w:rPr>
          <w:rFonts w:asciiTheme="majorBidi" w:hAnsiTheme="majorBidi" w:cstheme="majorBidi"/>
          <w:sz w:val="28"/>
          <w:szCs w:val="28"/>
          <w:lang w:val="uk-UA"/>
        </w:rPr>
        <w:t>конкретностей</w:t>
      </w:r>
      <w:proofErr w:type="spellEnd"/>
      <w:r w:rsidRPr="00B74706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14:paraId="21CD1476" w14:textId="77777777" w:rsidR="00ED36F6" w:rsidRPr="00B74706" w:rsidRDefault="00ED36F6" w:rsidP="00B7470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B74706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Історико-порівняльний метод у рамках цього підходу уможливив дослідження/співставлення загальних і специфічних стадій розвитку доброчесності в різних правових системах, а також виявлення запозичень, що відбуваються між ними і свідчать про схожість соціальних потреб окремих народів. Одним з поширених методів історико-правового гносеологічного підходу стає періодизація подій, що наповнюють конкретний відрізок часу трансформацій права і доброчесності. Унікальність цього методу полягає у тому, що тільки він уможливлює пізнання онтології правових зв’язків, закономірностей і тенденцій; встановлення передумов та умов виникнення, функціонування і розвитку явищ, що складають перемет дослідження правників, на підставі аналізу, синтезу, узагальнень та інших операцій формально-логічного мислення відносно історичних фактів. </w:t>
      </w:r>
    </w:p>
    <w:sectPr w:rsidR="00ED36F6" w:rsidRPr="00B7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8F0C" w14:textId="77777777" w:rsidR="00C11AF1" w:rsidRDefault="00C11AF1" w:rsidP="000E52F3">
      <w:pPr>
        <w:spacing w:after="0" w:line="240" w:lineRule="auto"/>
      </w:pPr>
      <w:r>
        <w:separator/>
      </w:r>
    </w:p>
  </w:endnote>
  <w:endnote w:type="continuationSeparator" w:id="0">
    <w:p w14:paraId="61B32C7E" w14:textId="77777777" w:rsidR="00C11AF1" w:rsidRDefault="00C11AF1" w:rsidP="000E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6B79D" w14:textId="77777777" w:rsidR="00C11AF1" w:rsidRDefault="00C11AF1" w:rsidP="000E52F3">
      <w:pPr>
        <w:spacing w:after="0" w:line="240" w:lineRule="auto"/>
      </w:pPr>
      <w:r>
        <w:separator/>
      </w:r>
    </w:p>
  </w:footnote>
  <w:footnote w:type="continuationSeparator" w:id="0">
    <w:p w14:paraId="4DC2C14F" w14:textId="77777777" w:rsidR="00C11AF1" w:rsidRDefault="00C11AF1" w:rsidP="000E5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11CA"/>
    <w:multiLevelType w:val="hybridMultilevel"/>
    <w:tmpl w:val="52A64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114"/>
    <w:multiLevelType w:val="hybridMultilevel"/>
    <w:tmpl w:val="76CCE83E"/>
    <w:lvl w:ilvl="0" w:tplc="FE94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BB2E7C"/>
    <w:multiLevelType w:val="hybridMultilevel"/>
    <w:tmpl w:val="31B69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4E4966"/>
    <w:multiLevelType w:val="hybridMultilevel"/>
    <w:tmpl w:val="172A2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E013AA"/>
    <w:multiLevelType w:val="hybridMultilevel"/>
    <w:tmpl w:val="1EE0C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A71B69"/>
    <w:multiLevelType w:val="hybridMultilevel"/>
    <w:tmpl w:val="E18E8DF2"/>
    <w:lvl w:ilvl="0" w:tplc="9582399E">
      <w:start w:val="1"/>
      <w:numFmt w:val="decimal"/>
      <w:lvlText w:val="%1."/>
      <w:lvlJc w:val="left"/>
      <w:pPr>
        <w:ind w:left="927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5804C1"/>
    <w:multiLevelType w:val="hybridMultilevel"/>
    <w:tmpl w:val="5CFA6B14"/>
    <w:lvl w:ilvl="0" w:tplc="02D61E7C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1F678A"/>
    <w:multiLevelType w:val="hybridMultilevel"/>
    <w:tmpl w:val="C652C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3D332A"/>
    <w:multiLevelType w:val="hybridMultilevel"/>
    <w:tmpl w:val="080063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06B4EAA"/>
    <w:multiLevelType w:val="hybridMultilevel"/>
    <w:tmpl w:val="12B632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833C84"/>
    <w:multiLevelType w:val="hybridMultilevel"/>
    <w:tmpl w:val="A3D25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B768B5"/>
    <w:multiLevelType w:val="hybridMultilevel"/>
    <w:tmpl w:val="4AF4CB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40E3723"/>
    <w:multiLevelType w:val="hybridMultilevel"/>
    <w:tmpl w:val="FEC0B6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406AF5"/>
    <w:multiLevelType w:val="hybridMultilevel"/>
    <w:tmpl w:val="EDF8EE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6E"/>
    <w:rsid w:val="00003B49"/>
    <w:rsid w:val="0000795C"/>
    <w:rsid w:val="00017E0D"/>
    <w:rsid w:val="000302C2"/>
    <w:rsid w:val="00041A79"/>
    <w:rsid w:val="0005106E"/>
    <w:rsid w:val="00061F3E"/>
    <w:rsid w:val="00074A57"/>
    <w:rsid w:val="00082BFD"/>
    <w:rsid w:val="00096A63"/>
    <w:rsid w:val="000C1E69"/>
    <w:rsid w:val="000C3E73"/>
    <w:rsid w:val="000E52F3"/>
    <w:rsid w:val="001038AF"/>
    <w:rsid w:val="00114CA3"/>
    <w:rsid w:val="001A7F29"/>
    <w:rsid w:val="001C14AB"/>
    <w:rsid w:val="001E4CFE"/>
    <w:rsid w:val="001F4558"/>
    <w:rsid w:val="00201896"/>
    <w:rsid w:val="0025424A"/>
    <w:rsid w:val="00257576"/>
    <w:rsid w:val="002A418F"/>
    <w:rsid w:val="002C6DCF"/>
    <w:rsid w:val="00323930"/>
    <w:rsid w:val="0034250E"/>
    <w:rsid w:val="003448CB"/>
    <w:rsid w:val="00350E51"/>
    <w:rsid w:val="00353E9F"/>
    <w:rsid w:val="004053ED"/>
    <w:rsid w:val="00405AC9"/>
    <w:rsid w:val="004231FE"/>
    <w:rsid w:val="00423B2C"/>
    <w:rsid w:val="004640AF"/>
    <w:rsid w:val="0049704A"/>
    <w:rsid w:val="004A1168"/>
    <w:rsid w:val="00502449"/>
    <w:rsid w:val="005135FC"/>
    <w:rsid w:val="005278EF"/>
    <w:rsid w:val="00610B1F"/>
    <w:rsid w:val="00651F5F"/>
    <w:rsid w:val="0068224E"/>
    <w:rsid w:val="006E4EEC"/>
    <w:rsid w:val="006F2524"/>
    <w:rsid w:val="007149C1"/>
    <w:rsid w:val="007213D6"/>
    <w:rsid w:val="0072477F"/>
    <w:rsid w:val="0074568D"/>
    <w:rsid w:val="007959A1"/>
    <w:rsid w:val="008120F0"/>
    <w:rsid w:val="00840309"/>
    <w:rsid w:val="008517FC"/>
    <w:rsid w:val="00867F5E"/>
    <w:rsid w:val="008B668B"/>
    <w:rsid w:val="008E75F4"/>
    <w:rsid w:val="009010A1"/>
    <w:rsid w:val="00902B9D"/>
    <w:rsid w:val="0091061E"/>
    <w:rsid w:val="00994E6B"/>
    <w:rsid w:val="009D536B"/>
    <w:rsid w:val="00B402E7"/>
    <w:rsid w:val="00B44770"/>
    <w:rsid w:val="00B53CA5"/>
    <w:rsid w:val="00B74706"/>
    <w:rsid w:val="00B8334F"/>
    <w:rsid w:val="00B91503"/>
    <w:rsid w:val="00B954E7"/>
    <w:rsid w:val="00BA4ED8"/>
    <w:rsid w:val="00BF3DFC"/>
    <w:rsid w:val="00C11AF1"/>
    <w:rsid w:val="00C22C2B"/>
    <w:rsid w:val="00CE4974"/>
    <w:rsid w:val="00CF0283"/>
    <w:rsid w:val="00D5456C"/>
    <w:rsid w:val="00DA246B"/>
    <w:rsid w:val="00DE5B0C"/>
    <w:rsid w:val="00E0003B"/>
    <w:rsid w:val="00E01E97"/>
    <w:rsid w:val="00E166CE"/>
    <w:rsid w:val="00E307A9"/>
    <w:rsid w:val="00E37008"/>
    <w:rsid w:val="00E4383F"/>
    <w:rsid w:val="00E55101"/>
    <w:rsid w:val="00E5647E"/>
    <w:rsid w:val="00E661C8"/>
    <w:rsid w:val="00E913B5"/>
    <w:rsid w:val="00E93578"/>
    <w:rsid w:val="00E9420A"/>
    <w:rsid w:val="00EC2D84"/>
    <w:rsid w:val="00ED36F6"/>
    <w:rsid w:val="00EF015E"/>
    <w:rsid w:val="00EF78C9"/>
    <w:rsid w:val="00F038E4"/>
    <w:rsid w:val="00F81BD8"/>
    <w:rsid w:val="00FA6D50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766E"/>
  <w15:chartTrackingRefBased/>
  <w15:docId w15:val="{D47C8A18-DAB4-4D06-AEC6-59063BB8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E52F3"/>
  </w:style>
  <w:style w:type="paragraph" w:styleId="a3">
    <w:name w:val="List Paragraph"/>
    <w:basedOn w:val="a"/>
    <w:uiPriority w:val="34"/>
    <w:qFormat/>
    <w:rsid w:val="000E52F3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footnote text"/>
    <w:basedOn w:val="a"/>
    <w:link w:val="a5"/>
    <w:uiPriority w:val="99"/>
    <w:semiHidden/>
    <w:unhideWhenUsed/>
    <w:rsid w:val="000E52F3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a5">
    <w:name w:val="Текст сноски Знак"/>
    <w:basedOn w:val="a0"/>
    <w:link w:val="a4"/>
    <w:uiPriority w:val="99"/>
    <w:semiHidden/>
    <w:rsid w:val="000E52F3"/>
    <w:rPr>
      <w:rFonts w:ascii="Calibri" w:eastAsia="Calibri" w:hAnsi="Calibri" w:cs="Times New Roman"/>
      <w:sz w:val="20"/>
      <w:szCs w:val="20"/>
      <w:lang w:val="it-IT"/>
    </w:rPr>
  </w:style>
  <w:style w:type="character" w:styleId="a6">
    <w:name w:val="footnote reference"/>
    <w:basedOn w:val="a0"/>
    <w:uiPriority w:val="99"/>
    <w:semiHidden/>
    <w:unhideWhenUsed/>
    <w:rsid w:val="000E52F3"/>
    <w:rPr>
      <w:vertAlign w:val="superscript"/>
    </w:rPr>
  </w:style>
  <w:style w:type="table" w:styleId="a7">
    <w:name w:val="Table Grid"/>
    <w:basedOn w:val="a1"/>
    <w:uiPriority w:val="59"/>
    <w:rsid w:val="000E52F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E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DE5B0C"/>
  </w:style>
  <w:style w:type="character" w:customStyle="1" w:styleId="rvts11">
    <w:name w:val="rvts11"/>
    <w:basedOn w:val="a0"/>
    <w:rsid w:val="00DE5B0C"/>
  </w:style>
  <w:style w:type="character" w:styleId="a8">
    <w:name w:val="Hyperlink"/>
    <w:basedOn w:val="a0"/>
    <w:uiPriority w:val="99"/>
    <w:semiHidden/>
    <w:unhideWhenUsed/>
    <w:rsid w:val="00DE5B0C"/>
    <w:rPr>
      <w:color w:val="0000FF"/>
      <w:u w:val="single"/>
    </w:rPr>
  </w:style>
  <w:style w:type="character" w:customStyle="1" w:styleId="hps">
    <w:name w:val="hps"/>
    <w:rsid w:val="00082BFD"/>
  </w:style>
  <w:style w:type="character" w:customStyle="1" w:styleId="tlid-translation">
    <w:name w:val="tlid-translation"/>
    <w:basedOn w:val="a0"/>
    <w:rsid w:val="00082BFD"/>
  </w:style>
  <w:style w:type="paragraph" w:styleId="a9">
    <w:name w:val="Body Text Indent"/>
    <w:basedOn w:val="a"/>
    <w:link w:val="aa"/>
    <w:rsid w:val="00074A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74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F25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Normal (Web)"/>
    <w:basedOn w:val="a"/>
    <w:uiPriority w:val="99"/>
    <w:unhideWhenUsed/>
    <w:rsid w:val="0085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Olexiy</dc:creator>
  <cp:keywords/>
  <dc:description/>
  <cp:lastModifiedBy>Olexiy</cp:lastModifiedBy>
  <cp:revision>78</cp:revision>
  <dcterms:created xsi:type="dcterms:W3CDTF">2020-05-02T20:37:00Z</dcterms:created>
  <dcterms:modified xsi:type="dcterms:W3CDTF">2020-09-09T13:05:00Z</dcterms:modified>
</cp:coreProperties>
</file>