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7FD" w:rsidRPr="00A56684" w:rsidRDefault="006037FD" w:rsidP="006037FD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684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6037FD" w:rsidRPr="00A56684" w:rsidRDefault="006037FD" w:rsidP="006037FD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2409"/>
        <w:gridCol w:w="1136"/>
      </w:tblGrid>
      <w:tr w:rsidR="006037FD" w:rsidRPr="00A56684" w:rsidTr="006A2045">
        <w:trPr>
          <w:trHeight w:val="5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6037FD" w:rsidRPr="00A56684" w:rsidTr="006A2045">
        <w:trPr>
          <w:trHeight w:val="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6684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6037FD" w:rsidRPr="00A56684" w:rsidTr="006A2045">
        <w:trPr>
          <w:trHeight w:val="343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6037FD" w:rsidRPr="00A56684" w:rsidTr="006A2045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Практичне 1-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A56684">
              <w:rPr>
                <w:rFonts w:ascii="Times New Roman" w:hAnsi="Times New Roman" w:cs="Times New Roman"/>
                <w:lang w:eastAsia="en-US"/>
              </w:rPr>
              <w:t xml:space="preserve"> – від 0 до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5 </w:t>
            </w:r>
            <w:r w:rsidRPr="00A56684">
              <w:rPr>
                <w:rFonts w:ascii="Times New Roman" w:hAnsi="Times New Roman" w:cs="Times New Roman"/>
                <w:lang w:eastAsia="en-US"/>
              </w:rPr>
              <w:t>б.</w:t>
            </w:r>
          </w:p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Підготовка теоретичних питань і робота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 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30</w:t>
            </w:r>
          </w:p>
        </w:tc>
      </w:tr>
      <w:tr w:rsidR="006037FD" w:rsidRPr="00A56684" w:rsidTr="006A2045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Самостійна робота 1-</w:t>
            </w:r>
            <w:r>
              <w:rPr>
                <w:rFonts w:ascii="Times New Roman" w:hAnsi="Times New Roman" w:cs="Times New Roman"/>
              </w:rPr>
              <w:t>14</w:t>
            </w:r>
            <w:r w:rsidRPr="00A56684">
              <w:rPr>
                <w:rFonts w:ascii="Times New Roman" w:hAnsi="Times New Roman" w:cs="Times New Roman"/>
              </w:rPr>
              <w:t xml:space="preserve"> – від 0 до </w:t>
            </w:r>
            <w:r>
              <w:rPr>
                <w:rFonts w:ascii="Times New Roman" w:hAnsi="Times New Roman" w:cs="Times New Roman"/>
              </w:rPr>
              <w:t>1.5</w:t>
            </w:r>
            <w:r w:rsidRPr="00A56684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18</w:t>
            </w:r>
          </w:p>
        </w:tc>
      </w:tr>
      <w:tr w:rsidR="006037FD" w:rsidRPr="00A56684" w:rsidTr="006A2045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83ACC">
              <w:rPr>
                <w:rFonts w:ascii="Times New Roman" w:hAnsi="Times New Roman" w:cs="Times New Roman"/>
              </w:rPr>
              <w:t>Тестування за результатами вивчення змістовного модуля (4) – від 1 до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За кожне правильно виконане тестове завдання студент отримує 0,15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(20 × 0,15 = 3,0 бали).</w:t>
            </w: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 xml:space="preserve">У разі виявлення академічної </w:t>
            </w:r>
            <w:proofErr w:type="spellStart"/>
            <w:r w:rsidRPr="00A56684">
              <w:rPr>
                <w:rFonts w:ascii="Times New Roman" w:hAnsi="Times New Roman" w:cs="Times New Roman"/>
                <w:lang w:eastAsia="en-US"/>
              </w:rPr>
              <w:t>недоброчесності</w:t>
            </w:r>
            <w:proofErr w:type="spellEnd"/>
            <w:r w:rsidRPr="00A56684">
              <w:rPr>
                <w:rFonts w:ascii="Times New Roman" w:hAnsi="Times New Roman" w:cs="Times New Roman"/>
                <w:lang w:eastAsia="en-US"/>
              </w:rPr>
              <w:t xml:space="preserve"> (використання сторонніх джерел, автоматичних підказок тощо) — тест оцінюється в 0 балів незалежно від результатів.</w:t>
            </w: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Результат тесту можна покращити через повторне проходження (за погодженням із викладачем і в межах строків модуля).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6037FD" w:rsidRPr="00A56684" w:rsidTr="006A2045">
        <w:trPr>
          <w:trHeight w:val="3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Альтернативні завдання (неформальна/ </w:t>
            </w:r>
            <w:proofErr w:type="spellStart"/>
            <w:r w:rsidRPr="00A56684">
              <w:rPr>
                <w:rFonts w:ascii="Times New Roman" w:hAnsi="Times New Roman" w:cs="Times New Roman"/>
              </w:rPr>
              <w:t>інформальна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 xml:space="preserve">Студент(ка) можуть запропонувати свій варіант завдання з тематики змістовних модулів (1-4), </w:t>
            </w:r>
            <w:r w:rsidRPr="00A56684">
              <w:rPr>
                <w:rFonts w:ascii="Times New Roman" w:hAnsi="Times New Roman" w:cs="Times New Roman"/>
              </w:rPr>
              <w:lastRenderedPageBreak/>
              <w:t>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lastRenderedPageBreak/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6037FD" w:rsidRPr="00A56684" w:rsidTr="006A20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037FD" w:rsidRPr="00A56684" w:rsidTr="006A2045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6037FD" w:rsidRPr="00A56684" w:rsidTr="006A2045">
        <w:trPr>
          <w:trHeight w:val="134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6037FD" w:rsidRPr="00A56684" w:rsidTr="006A2045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7FD" w:rsidRPr="00A56684" w:rsidRDefault="006037FD" w:rsidP="006A2045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6037FD" w:rsidRPr="00A56684" w:rsidTr="006A2045">
        <w:trPr>
          <w:trHeight w:val="56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FD" w:rsidRPr="00A56684" w:rsidRDefault="006037FD" w:rsidP="006A2045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6037FD" w:rsidRPr="00A56684" w:rsidTr="006A2045">
        <w:trPr>
          <w:trHeight w:val="5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FD" w:rsidRPr="00A56684" w:rsidRDefault="006037FD" w:rsidP="006A2045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proofErr w:type="spellStart"/>
            <w:r w:rsidRPr="00A56684">
              <w:rPr>
                <w:rFonts w:ascii="Times New Roman" w:hAnsi="Times New Roman" w:cs="Times New Roman"/>
              </w:rPr>
              <w:t>Тврче</w:t>
            </w:r>
            <w:proofErr w:type="spellEnd"/>
            <w:r w:rsidRPr="00A56684">
              <w:rPr>
                <w:rFonts w:ascii="Times New Roman" w:hAnsi="Times New Roman" w:cs="Times New Roman"/>
              </w:rPr>
              <w:t xml:space="preserve">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A56684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037FD" w:rsidRPr="00A56684" w:rsidRDefault="006037FD" w:rsidP="006A2045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рефлексійного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A5668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6684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56684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6037FD" w:rsidRPr="00A56684" w:rsidTr="006A20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6684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FD" w:rsidRPr="00A56684" w:rsidRDefault="006037FD" w:rsidP="006A20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A56684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6037FD" w:rsidRPr="00A56684" w:rsidRDefault="006037FD" w:rsidP="006037FD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037FD" w:rsidRPr="00A56684" w:rsidRDefault="006037FD" w:rsidP="006037F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6684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6037FD" w:rsidRPr="00A56684" w:rsidRDefault="006037FD" w:rsidP="006037FD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4"/>
        <w:gridCol w:w="6675"/>
      </w:tblGrid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A566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684">
              <w:rPr>
                <w:rFonts w:ascii="Times New Roman" w:hAnsi="Times New Roman" w:cs="Times New Roman"/>
                <w:b/>
              </w:rPr>
              <w:t>Бали</w:t>
            </w:r>
            <w:proofErr w:type="spellEnd"/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модулів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12</w:t>
            </w:r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занять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): 0–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</w:p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ві</w:t>
            </w:r>
            <w:r w:rsidRPr="00A070E2">
              <w:rPr>
                <w:rFonts w:ascii="Times New Roman" w:hAnsi="Times New Roman" w:cs="Times New Roman"/>
                <w:bCs/>
              </w:rPr>
              <w:t>дмінний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глибокий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системний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цілісне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теоретичного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поняттях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термінах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підходах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школах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сучасної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філології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структурована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послідовна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аргументована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прикладами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мовознавчих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літературознавчих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виявляє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синтезувати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різних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напрямів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міждисциплінарність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формулює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застосовує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методологічні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категорії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конкретних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текстів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правильне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академічне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термінологічно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точне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стиль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науково-аналітичний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070E2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</w:t>
            </w:r>
            <w:r w:rsidRPr="00A070E2">
              <w:rPr>
                <w:rFonts w:ascii="Times New Roman" w:hAnsi="Times New Roman" w:cs="Times New Roman"/>
                <w:bCs/>
              </w:rPr>
              <w:t>остатній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(з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елементами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аналітичності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змістовна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і в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цілому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правильно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визначає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сутності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підходів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може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порівнювати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різні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концепції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lastRenderedPageBreak/>
              <w:t>Допускаються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поверхове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пояснення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деталей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вони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спотворюють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спроби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самостійних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наведено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літератури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явищ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витримана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потребує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більшої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аргументованості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системності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070E2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</w:t>
            </w:r>
            <w:r w:rsidRPr="00A070E2">
              <w:rPr>
                <w:rFonts w:ascii="Times New Roman" w:hAnsi="Times New Roman" w:cs="Times New Roman"/>
                <w:bCs/>
              </w:rPr>
              <w:t>ередній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репродуктивно-аналітичний</w:t>
            </w:r>
            <w:proofErr w:type="spellEnd"/>
            <w:proofErr w:type="gramStart"/>
            <w:r w:rsidRPr="00A070E2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proofErr w:type="gram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знає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категорії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відтворює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переважно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формі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зразком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конспектом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фрагментарний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є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порушення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логічної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послідовності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нечітке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розмежування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термінів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Виявляється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загальне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глибокого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слабка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поверхові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грамотне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поодинокими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лексико-стилістичними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огріхами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070E2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</w:t>
            </w:r>
            <w:r w:rsidRPr="00A070E2">
              <w:rPr>
                <w:rFonts w:ascii="Times New Roman" w:hAnsi="Times New Roman" w:cs="Times New Roman"/>
                <w:bCs/>
              </w:rPr>
              <w:t>изький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часткове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)</w:t>
            </w: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непослідовна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знає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лише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терміни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положення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взаємозв’язків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ними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Відчутна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невпевненість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матеріалі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логічне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місцями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неструктуроване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наявні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термінологічні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070E2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</w:t>
            </w:r>
            <w:r w:rsidRPr="00A070E2">
              <w:rPr>
                <w:rFonts w:ascii="Times New Roman" w:hAnsi="Times New Roman" w:cs="Times New Roman"/>
                <w:bCs/>
              </w:rPr>
              <w:t>інімальний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поверхове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відтворення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знайомий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формальна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логіки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прикладів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аналітики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Виклад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уривчастий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нечіткий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спостерігаються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визначеннях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плутанина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методологічних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принципів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070E2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70E2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</w:t>
            </w:r>
            <w:r w:rsidRPr="00A070E2">
              <w:rPr>
                <w:rFonts w:ascii="Times New Roman" w:hAnsi="Times New Roman" w:cs="Times New Roman"/>
                <w:bCs/>
              </w:rPr>
              <w:t>ідсутність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грубі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темі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змістовної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суттєві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спотворення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суті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070E2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070E2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тести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20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): 0–3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90–100 % (18–20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3,0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80–89 % (16–17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2,5–2,9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65–79 % (13–15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2,0–2,4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50–64 % (10–12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  <w:r w:rsidRPr="00A56684">
              <w:rPr>
                <w:rFonts w:ascii="Times New Roman" w:hAnsi="Times New Roman" w:cs="Times New Roman"/>
                <w:bCs/>
              </w:rPr>
              <w:tab/>
              <w:t xml:space="preserve">1,0–1,9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Менше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50 % (0–9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 0–0,9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самостійної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– 0</w:t>
            </w:r>
            <w:r w:rsidRPr="00A56684">
              <w:rPr>
                <w:rFonts w:ascii="Times New Roman" w:hAnsi="Times New Roman" w:cs="Times New Roman"/>
                <w:bCs/>
              </w:rPr>
              <w:t xml:space="preserve">–1,5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</w:p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дотримався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рекомендацій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помилок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наведено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посилання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узагальнювати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інтерпретувати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правильно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обсязі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достатньої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шаблонні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формулювання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0,5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грубими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фактичними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Повторне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можливе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наступного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екзамені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(0–10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)</w:t>
            </w:r>
          </w:p>
          <w:p w:rsidR="006037FD" w:rsidRPr="00A56684" w:rsidRDefault="006037FD" w:rsidP="006A20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поєднувати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школах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наводить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викладача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аспектів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незначні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уточнювальні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поверховість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прикладів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загальних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рисах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достатньої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засвоєно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базовому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категоріями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присутні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відтворює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лише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положеннями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поняттєвому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апараті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неструктурована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нечітка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слабку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поверхнево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неправильно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показано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мінімальна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складається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уривчастих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тверджень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питанню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2D5A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екзамен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): 10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672D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2D5A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</w:p>
        </w:tc>
        <w:tc>
          <w:tcPr>
            <w:tcW w:w="0" w:type="auto"/>
          </w:tcPr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Кількість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правильних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733FB">
              <w:rPr>
                <w:rFonts w:ascii="Times New Roman" w:hAnsi="Times New Roman" w:cs="Times New Roman"/>
                <w:bCs/>
              </w:rPr>
              <w:t>відповідей</w:t>
            </w:r>
            <w:proofErr w:type="spellEnd"/>
            <w:r w:rsidRPr="003733F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27–30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90–100 %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9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25–26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83–89 %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23–24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76–82 %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21–22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70–75 %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6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18–20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60–69 %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15–17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50–59 %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12–14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40–49 %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3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9–11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30–39 %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6–8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20–29 %</w:t>
            </w:r>
          </w:p>
          <w:p w:rsidR="006037FD" w:rsidRPr="003733FB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1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3–5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10–19 %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33FB">
              <w:rPr>
                <w:rFonts w:ascii="Times New Roman" w:hAnsi="Times New Roman" w:cs="Times New Roman"/>
                <w:bCs/>
              </w:rPr>
              <w:t>0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0–2</w:t>
            </w:r>
            <w:r w:rsidRPr="003733FB">
              <w:rPr>
                <w:rFonts w:ascii="Times New Roman" w:hAnsi="Times New Roman" w:cs="Times New Roman"/>
                <w:bCs/>
              </w:rPr>
              <w:tab/>
              <w:t>0–9 %</w:t>
            </w:r>
          </w:p>
        </w:tc>
      </w:tr>
      <w:tr w:rsidR="006037FD" w:rsidRPr="00A56684" w:rsidTr="006A2045"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науковому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підґрунтям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позицією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переконлива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сучасні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структуралізм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герменевтика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феміністична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постколоніальний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тощо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філософія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культура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психологія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цифрові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гуманітарні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студії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оригінальна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продумана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авторські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норм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грамотне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виразне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структуроване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обґрунтований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навички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художнього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літературознавства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критичної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деталізації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хоча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місцями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досить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аргументовані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поодинокими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якісно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оригінальності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висвітлена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аспектах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повторюють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відомі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однак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певні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недоліки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загальна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збережена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обмежене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коло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lastRenderedPageBreak/>
              <w:t xml:space="preserve">7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засад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поверховий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глибоких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інтерпретацій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рекомендовані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вказана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практиці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частина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дотримана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Літературознавча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термінологія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використовується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нечіткість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формулюваннях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недостатня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поверхневе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обмежується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переказом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цитуванням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висновків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Методологічний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підхід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порівняння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зв’язок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засадами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компілятивний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думка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фрагментарно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неактуальні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неперевірені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фактологічні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більшості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визначеннях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термінах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категорій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1-2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змістового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наповнення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плагіат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безсистемне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запозичення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аналітика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6684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  <w:r w:rsidRPr="00A56684">
              <w:rPr>
                <w:rFonts w:ascii="Times New Roman" w:hAnsi="Times New Roman" w:cs="Times New Roman"/>
                <w:bCs/>
              </w:rPr>
              <w:tab/>
            </w:r>
          </w:p>
          <w:p w:rsidR="006037FD" w:rsidRPr="00A56684" w:rsidRDefault="006037FD" w:rsidP="006A204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Роботу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вона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відношення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ознаки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самостійного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порушено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норми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56684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A56684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6037FD" w:rsidRPr="00A56684" w:rsidRDefault="006037FD" w:rsidP="006037FD">
      <w:pPr>
        <w:jc w:val="center"/>
        <w:rPr>
          <w:rFonts w:ascii="Times New Roman" w:hAnsi="Times New Roman" w:cs="Times New Roman"/>
          <w:b/>
        </w:rPr>
      </w:pPr>
    </w:p>
    <w:p w:rsidR="006037FD" w:rsidRPr="00A56684" w:rsidRDefault="006037FD" w:rsidP="006037FD">
      <w:pPr>
        <w:jc w:val="center"/>
        <w:rPr>
          <w:rFonts w:ascii="Times New Roman" w:hAnsi="Times New Roman" w:cs="Times New Roman"/>
          <w:b/>
        </w:rPr>
      </w:pPr>
    </w:p>
    <w:p w:rsidR="006037FD" w:rsidRPr="00A56684" w:rsidRDefault="006037FD" w:rsidP="006037FD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6037FD" w:rsidRPr="00A56684" w:rsidTr="006A2045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5668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566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6037FD" w:rsidRPr="00A56684" w:rsidRDefault="006037FD" w:rsidP="006A2045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6037FD" w:rsidRPr="00A56684" w:rsidTr="006A2045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7FD" w:rsidRPr="00A56684" w:rsidRDefault="006037FD" w:rsidP="006A204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6037FD" w:rsidRPr="00A56684" w:rsidTr="006A204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lastRenderedPageBreak/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6037FD" w:rsidRPr="00A56684" w:rsidRDefault="006037FD" w:rsidP="006A204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7FD" w:rsidRPr="00A56684" w:rsidRDefault="006037FD" w:rsidP="006A204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6037FD" w:rsidRPr="00A56684" w:rsidRDefault="006037FD" w:rsidP="006037F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4A14D2" w:rsidRDefault="004A14D2"/>
    <w:sectPr w:rsidR="004A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D"/>
    <w:rsid w:val="004A14D2"/>
    <w:rsid w:val="0060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E164-2E38-4FED-8532-6136A36A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F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FD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FD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F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FD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FD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6037F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037FD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6037FD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6037F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6037FD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eastAsia="zh-CN" w:bidi="hi-IN"/>
    </w:rPr>
  </w:style>
  <w:style w:type="table" w:styleId="a3">
    <w:name w:val="Table Grid"/>
    <w:basedOn w:val="a1"/>
    <w:uiPriority w:val="39"/>
    <w:rsid w:val="006037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7219</Words>
  <Characters>4116</Characters>
  <Application>Microsoft Office Word</Application>
  <DocSecurity>0</DocSecurity>
  <Lines>34</Lines>
  <Paragraphs>22</Paragraphs>
  <ScaleCrop>false</ScaleCrop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2025-11-13T02:46:00Z</dcterms:created>
  <dcterms:modified xsi:type="dcterms:W3CDTF">2025-11-13T02:47:00Z</dcterms:modified>
</cp:coreProperties>
</file>