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5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D2161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923573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курсу </w:t>
      </w:r>
      <w:r w:rsidR="00961295">
        <w:rPr>
          <w:rFonts w:ascii="Times New Roman" w:hAnsi="Times New Roman" w:cs="Times New Roman"/>
          <w:i/>
          <w:sz w:val="28"/>
          <w:szCs w:val="28"/>
          <w:lang w:val="uk-UA"/>
        </w:rPr>
        <w:t>Теорія пізнання</w:t>
      </w:r>
    </w:p>
    <w:p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тему:</w:t>
      </w:r>
    </w:p>
    <w:p w:rsidR="00CE0475" w:rsidRDefault="00CE0475" w:rsidP="0096129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2161B">
        <w:rPr>
          <w:rFonts w:ascii="Times New Roman" w:hAnsi="Times New Roman" w:cs="Times New Roman"/>
          <w:b/>
          <w:sz w:val="28"/>
          <w:szCs w:val="28"/>
          <w:lang w:val="uk-UA"/>
        </w:rPr>
        <w:t>Суб’єкт та об’єкт пізнання</w:t>
      </w: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61295" w:rsidRPr="00961295" w:rsidRDefault="00D2161B" w:rsidP="00961295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уважно лекційний матеріал по темі за закріпіть теоретичні знання заповнивши таблицю нижче. </w:t>
      </w:r>
      <w:r w:rsidR="00014427">
        <w:rPr>
          <w:rFonts w:ascii="Times New Roman" w:hAnsi="Times New Roman" w:cs="Times New Roman"/>
          <w:sz w:val="28"/>
          <w:szCs w:val="28"/>
          <w:lang w:val="uk-UA"/>
        </w:rPr>
        <w:t xml:space="preserve">В таблиці наведені три класичні соціологічні дослідження. Вам необхідно </w:t>
      </w:r>
      <w:r w:rsidR="00206232">
        <w:rPr>
          <w:rFonts w:ascii="Times New Roman" w:hAnsi="Times New Roman" w:cs="Times New Roman"/>
          <w:sz w:val="28"/>
          <w:szCs w:val="28"/>
          <w:lang w:val="uk-UA"/>
        </w:rPr>
        <w:t xml:space="preserve">перейти за посиланнями та ознайомитися із матеріалами, а в деяких випадках </w:t>
      </w:r>
      <w:r w:rsidR="00014427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 знайти інформацію про них і визначити, хто саме в межах цих досліджень був суб’єктом </w:t>
      </w:r>
      <w:r w:rsidR="00206232">
        <w:rPr>
          <w:rFonts w:ascii="Times New Roman" w:hAnsi="Times New Roman" w:cs="Times New Roman"/>
          <w:sz w:val="28"/>
          <w:szCs w:val="28"/>
          <w:lang w:val="uk-UA"/>
        </w:rPr>
        <w:t xml:space="preserve">пізнання, </w:t>
      </w:r>
      <w:r w:rsidR="00014427">
        <w:rPr>
          <w:rFonts w:ascii="Times New Roman" w:hAnsi="Times New Roman" w:cs="Times New Roman"/>
          <w:sz w:val="28"/>
          <w:szCs w:val="28"/>
          <w:lang w:val="uk-UA"/>
        </w:rPr>
        <w:t>що було об’єктом пізнання</w:t>
      </w:r>
      <w:r w:rsidR="00206232">
        <w:rPr>
          <w:rFonts w:ascii="Times New Roman" w:hAnsi="Times New Roman" w:cs="Times New Roman"/>
          <w:sz w:val="28"/>
          <w:szCs w:val="28"/>
          <w:lang w:val="uk-UA"/>
        </w:rPr>
        <w:t xml:space="preserve"> і який метод пізнання використовувався</w:t>
      </w:r>
      <w:r w:rsidR="00014427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 w:rsidR="00A84827">
        <w:rPr>
          <w:rFonts w:ascii="Times New Roman" w:hAnsi="Times New Roman" w:cs="Times New Roman"/>
          <w:sz w:val="28"/>
          <w:szCs w:val="28"/>
          <w:lang w:val="uk-UA"/>
        </w:rPr>
        <w:t>Успіхів</w:t>
      </w:r>
      <w:r w:rsidR="00014427">
        <w:rPr>
          <w:rFonts w:ascii="Times New Roman" w:hAnsi="Times New Roman" w:cs="Times New Roman"/>
          <w:sz w:val="28"/>
          <w:szCs w:val="28"/>
          <w:lang w:val="uk-UA"/>
        </w:rPr>
        <w:t xml:space="preserve"> та цікавих відкриттів</w:t>
      </w:r>
      <w:r w:rsidR="00A8482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E0475" w:rsidRDefault="00CE0475" w:rsidP="00CE047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-3"/>
        <w:tblW w:w="10597" w:type="dxa"/>
        <w:tblInd w:w="-885" w:type="dxa"/>
        <w:tblLayout w:type="fixed"/>
        <w:tblLook w:val="04A0"/>
      </w:tblPr>
      <w:tblGrid>
        <w:gridCol w:w="533"/>
        <w:gridCol w:w="2825"/>
        <w:gridCol w:w="2535"/>
        <w:gridCol w:w="2352"/>
        <w:gridCol w:w="2352"/>
      </w:tblGrid>
      <w:tr w:rsidR="00206232" w:rsidRPr="00014427" w:rsidTr="00206232">
        <w:trPr>
          <w:cnfStyle w:val="100000000000"/>
        </w:trPr>
        <w:tc>
          <w:tcPr>
            <w:cnfStyle w:val="001000000000"/>
            <w:tcW w:w="533" w:type="dxa"/>
            <w:shd w:val="clear" w:color="auto" w:fill="C2D69B" w:themeFill="accent3" w:themeFillTint="99"/>
          </w:tcPr>
          <w:p w:rsidR="00206232" w:rsidRDefault="00206232" w:rsidP="00CE0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825" w:type="dxa"/>
            <w:shd w:val="clear" w:color="auto" w:fill="C2D69B" w:themeFill="accent3" w:themeFillTint="99"/>
          </w:tcPr>
          <w:p w:rsidR="00206232" w:rsidRDefault="00206232" w:rsidP="00CE0475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</w:t>
            </w:r>
          </w:p>
        </w:tc>
        <w:tc>
          <w:tcPr>
            <w:tcW w:w="2535" w:type="dxa"/>
            <w:shd w:val="clear" w:color="auto" w:fill="C2D69B" w:themeFill="accent3" w:themeFillTint="99"/>
          </w:tcPr>
          <w:p w:rsidR="00206232" w:rsidRDefault="00206232" w:rsidP="00654675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Суб’єкт пізнання </w:t>
            </w:r>
          </w:p>
        </w:tc>
        <w:tc>
          <w:tcPr>
            <w:tcW w:w="2352" w:type="dxa"/>
            <w:shd w:val="clear" w:color="auto" w:fill="C2D69B" w:themeFill="accent3" w:themeFillTint="99"/>
          </w:tcPr>
          <w:p w:rsidR="00206232" w:rsidRDefault="00206232" w:rsidP="00654675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 пізнання</w:t>
            </w:r>
          </w:p>
        </w:tc>
        <w:tc>
          <w:tcPr>
            <w:tcW w:w="2352" w:type="dxa"/>
            <w:shd w:val="clear" w:color="auto" w:fill="C2D69B" w:themeFill="accent3" w:themeFillTint="99"/>
          </w:tcPr>
          <w:p w:rsidR="00206232" w:rsidRDefault="00206232" w:rsidP="00206232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дослідження</w:t>
            </w:r>
          </w:p>
        </w:tc>
      </w:tr>
      <w:tr w:rsidR="00206232" w:rsidRPr="00014427" w:rsidTr="00206232">
        <w:trPr>
          <w:cnfStyle w:val="000000100000"/>
        </w:trPr>
        <w:tc>
          <w:tcPr>
            <w:cnfStyle w:val="001000000000"/>
            <w:tcW w:w="533" w:type="dxa"/>
            <w:shd w:val="clear" w:color="auto" w:fill="EAF1DD" w:themeFill="accent3" w:themeFillTint="33"/>
          </w:tcPr>
          <w:p w:rsidR="00206232" w:rsidRPr="00961295" w:rsidRDefault="00206232" w:rsidP="00D13538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2825" w:type="dxa"/>
            <w:shd w:val="clear" w:color="auto" w:fill="EAF1DD" w:themeFill="accent3" w:themeFillTint="33"/>
          </w:tcPr>
          <w:p w:rsidR="00206232" w:rsidRPr="00961295" w:rsidRDefault="00206232" w:rsidP="00014427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Хоторнський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експеримент»-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цикл експериментів 1920-1930х рр.</w:t>
            </w:r>
          </w:p>
        </w:tc>
        <w:tc>
          <w:tcPr>
            <w:tcW w:w="2535" w:type="dxa"/>
            <w:shd w:val="clear" w:color="auto" w:fill="EAF1DD" w:themeFill="accent3" w:themeFillTint="33"/>
          </w:tcPr>
          <w:p w:rsidR="00206232" w:rsidRDefault="00206232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2" w:type="dxa"/>
            <w:shd w:val="clear" w:color="auto" w:fill="EAF1DD" w:themeFill="accent3" w:themeFillTint="33"/>
          </w:tcPr>
          <w:p w:rsidR="00206232" w:rsidRDefault="00206232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2" w:type="dxa"/>
            <w:shd w:val="clear" w:color="auto" w:fill="EAF1DD" w:themeFill="accent3" w:themeFillTint="33"/>
          </w:tcPr>
          <w:p w:rsidR="00206232" w:rsidRDefault="00206232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6232" w:rsidRPr="00206232" w:rsidTr="00206232">
        <w:tc>
          <w:tcPr>
            <w:cnfStyle w:val="001000000000"/>
            <w:tcW w:w="533" w:type="dxa"/>
            <w:shd w:val="clear" w:color="auto" w:fill="C2D69B" w:themeFill="accent3" w:themeFillTint="99"/>
          </w:tcPr>
          <w:p w:rsidR="00206232" w:rsidRPr="00961295" w:rsidRDefault="00206232" w:rsidP="00654675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2825" w:type="dxa"/>
            <w:shd w:val="clear" w:color="auto" w:fill="C2D69B" w:themeFill="accent3" w:themeFillTint="99"/>
          </w:tcPr>
          <w:p w:rsidR="00206232" w:rsidRPr="00961295" w:rsidRDefault="00206232" w:rsidP="006546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623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Українське суспільство. Моніторинг соціальних змін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0623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(Інститут соціології НАН України)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hyperlink r:id="rId5" w:history="1">
              <w:r w:rsidRPr="00E9071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https://i-soc.com.ua/assets/files/monitoring/dodatki2018.pdf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535" w:type="dxa"/>
            <w:shd w:val="clear" w:color="auto" w:fill="C2D69B" w:themeFill="accent3" w:themeFillTint="99"/>
          </w:tcPr>
          <w:p w:rsidR="00206232" w:rsidRDefault="00206232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2" w:type="dxa"/>
            <w:shd w:val="clear" w:color="auto" w:fill="C2D69B" w:themeFill="accent3" w:themeFillTint="99"/>
          </w:tcPr>
          <w:p w:rsidR="00206232" w:rsidRDefault="00206232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2" w:type="dxa"/>
            <w:shd w:val="clear" w:color="auto" w:fill="C2D69B" w:themeFill="accent3" w:themeFillTint="99"/>
          </w:tcPr>
          <w:p w:rsidR="00206232" w:rsidRDefault="00206232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6232" w:rsidRPr="00961295" w:rsidTr="00206232">
        <w:trPr>
          <w:cnfStyle w:val="000000100000"/>
        </w:trPr>
        <w:tc>
          <w:tcPr>
            <w:cnfStyle w:val="001000000000"/>
            <w:tcW w:w="533" w:type="dxa"/>
            <w:shd w:val="clear" w:color="auto" w:fill="C2D69B" w:themeFill="accent3" w:themeFillTint="99"/>
          </w:tcPr>
          <w:p w:rsidR="00206232" w:rsidRPr="00961295" w:rsidRDefault="00206232" w:rsidP="00654675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2825" w:type="dxa"/>
            <w:shd w:val="clear" w:color="auto" w:fill="C2D69B" w:themeFill="accent3" w:themeFillTint="99"/>
          </w:tcPr>
          <w:p w:rsidR="00206232" w:rsidRPr="00961295" w:rsidRDefault="00206232" w:rsidP="0096129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Контент-аналіз рішучості в прийнятті управлінських рішень (</w:t>
            </w:r>
            <w:proofErr w:type="spellStart"/>
            <w:r w:rsidR="00E27ADF" w:rsidRPr="00E27ADF">
              <w:rPr>
                <w:rFonts w:ascii="Times New Roman" w:hAnsi="Times New Roman" w:cs="Times New Roman"/>
                <w:sz w:val="28"/>
                <w:szCs w:val="28"/>
              </w:rPr>
              <w:t>Говард</w:t>
            </w:r>
            <w:proofErr w:type="spellEnd"/>
            <w:r w:rsidR="00E27ADF" w:rsidRPr="00E27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7ADF" w:rsidRPr="00E27ADF">
              <w:rPr>
                <w:rFonts w:ascii="Times New Roman" w:hAnsi="Times New Roman" w:cs="Times New Roman"/>
                <w:sz w:val="28"/>
                <w:szCs w:val="28"/>
              </w:rPr>
              <w:t>Гарріс</w:t>
            </w:r>
            <w:proofErr w:type="spellEnd"/>
            <w:r w:rsidR="00E27ADF" w:rsidRPr="00E27ADF">
              <w:rPr>
                <w:rFonts w:ascii="Times New Roman" w:hAnsi="Times New Roman" w:cs="Times New Roman"/>
                <w:sz w:val="28"/>
                <w:szCs w:val="28"/>
              </w:rPr>
              <w:t>, 2001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E27ADF">
              <w:t xml:space="preserve"> </w:t>
            </w:r>
            <w:hyperlink r:id="rId6" w:history="1">
              <w:r w:rsidR="00E27ADF" w:rsidRPr="00E9071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https://www.researchgate.net/publication/226449828_Content_Analysis_of_Secondary_Data_A_Study_of_Coura</w:t>
              </w:r>
              <w:r w:rsidR="00E27ADF" w:rsidRPr="00E9071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lastRenderedPageBreak/>
                <w:t>ge_in_Managerial_Decision_Making</w:t>
              </w:r>
            </w:hyperlink>
            <w:r w:rsidR="00E27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35" w:type="dxa"/>
            <w:shd w:val="clear" w:color="auto" w:fill="C2D69B" w:themeFill="accent3" w:themeFillTint="99"/>
          </w:tcPr>
          <w:p w:rsidR="00206232" w:rsidRDefault="00206232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2" w:type="dxa"/>
            <w:shd w:val="clear" w:color="auto" w:fill="C2D69B" w:themeFill="accent3" w:themeFillTint="99"/>
          </w:tcPr>
          <w:p w:rsidR="00206232" w:rsidRDefault="00206232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2" w:type="dxa"/>
            <w:shd w:val="clear" w:color="auto" w:fill="C2D69B" w:themeFill="accent3" w:themeFillTint="99"/>
          </w:tcPr>
          <w:p w:rsidR="00206232" w:rsidRDefault="00206232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0475" w:rsidRPr="00CE0475" w:rsidRDefault="00CE0475" w:rsidP="00A252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E0475" w:rsidRPr="00CE0475" w:rsidSect="00A2528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80D36"/>
    <w:multiLevelType w:val="hybridMultilevel"/>
    <w:tmpl w:val="1F046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475"/>
    <w:rsid w:val="00014427"/>
    <w:rsid w:val="00141A4A"/>
    <w:rsid w:val="00206232"/>
    <w:rsid w:val="00654675"/>
    <w:rsid w:val="008A55C6"/>
    <w:rsid w:val="00923573"/>
    <w:rsid w:val="00961295"/>
    <w:rsid w:val="009C4BC3"/>
    <w:rsid w:val="00A25287"/>
    <w:rsid w:val="00A43AD5"/>
    <w:rsid w:val="00A84827"/>
    <w:rsid w:val="00CE0475"/>
    <w:rsid w:val="00D13538"/>
    <w:rsid w:val="00D2161B"/>
    <w:rsid w:val="00E2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75"/>
    <w:pPr>
      <w:ind w:left="720"/>
      <w:contextualSpacing/>
    </w:pPr>
  </w:style>
  <w:style w:type="table" w:styleId="a4">
    <w:name w:val="Table Grid"/>
    <w:basedOn w:val="a1"/>
    <w:uiPriority w:val="59"/>
    <w:rsid w:val="00CE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A25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a5">
    <w:name w:val="Hyperlink"/>
    <w:basedOn w:val="a0"/>
    <w:uiPriority w:val="99"/>
    <w:unhideWhenUsed/>
    <w:rsid w:val="002062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26449828_Content_Analysis_of_Secondary_Data_A_Study_of_Courage_in_Managerial_Decision_Making" TargetMode="External"/><Relationship Id="rId5" Type="http://schemas.openxmlformats.org/officeDocument/2006/relationships/hyperlink" Target="https://i-soc.com.ua/assets/files/monitoring/dodatki20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kulik</cp:lastModifiedBy>
  <cp:revision>3</cp:revision>
  <dcterms:created xsi:type="dcterms:W3CDTF">2021-04-05T10:45:00Z</dcterms:created>
  <dcterms:modified xsi:type="dcterms:W3CDTF">2021-04-05T12:44:00Z</dcterms:modified>
</cp:coreProperties>
</file>