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E7" w:rsidRDefault="00E20BE7" w:rsidP="00E20BE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ЛАБОРАТОРНА</w:t>
      </w:r>
      <w:r w:rsidR="00CE1EE7">
        <w:rPr>
          <w:rFonts w:ascii="Times New Roman" w:hAnsi="Times New Roman"/>
          <w:b/>
          <w:sz w:val="28"/>
          <w:szCs w:val="28"/>
        </w:rPr>
        <w:t xml:space="preserve">РОБОТА </w:t>
      </w:r>
      <w:r>
        <w:rPr>
          <w:rFonts w:ascii="Times New Roman" w:hAnsi="Times New Roman"/>
          <w:b/>
          <w:sz w:val="28"/>
          <w:szCs w:val="28"/>
        </w:rPr>
        <w:t xml:space="preserve"> №5. ЗАЛУЧЕННЯ ГРОМАДСЬКОСТІ ДО ПРОЦЕСУ ОЦІНКИ ВПЛИВУ НА ДОВКІЛЛЯ</w:t>
      </w:r>
    </w:p>
    <w:p w:rsidR="00E20BE7" w:rsidRDefault="00E20BE7" w:rsidP="00E20B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>
        <w:rPr>
          <w:rFonts w:ascii="Times New Roman" w:hAnsi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консультацію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з'ясовувати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державній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Актуалізація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20BE7" w:rsidRDefault="00E20BE7" w:rsidP="00E20B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Об’єкти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суб’єкти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Статус </w:t>
      </w:r>
      <w:proofErr w:type="spellStart"/>
      <w:r>
        <w:rPr>
          <w:rFonts w:ascii="Times New Roman" w:hAnsi="Times New Roman"/>
          <w:sz w:val="28"/>
          <w:szCs w:val="28"/>
        </w:rPr>
        <w:t>експерта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Вступ.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Алгоритм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І.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дов</w:t>
      </w:r>
      <w:proofErr w:type="gramEnd"/>
      <w:r>
        <w:rPr>
          <w:rFonts w:ascii="Times New Roman" w:hAnsi="Times New Roman"/>
          <w:sz w:val="28"/>
          <w:szCs w:val="28"/>
        </w:rPr>
        <w:t>ільній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Вступ.</w:t>
      </w:r>
      <w:r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є,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безумовно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бажаною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компонентою </w:t>
      </w:r>
      <w:proofErr w:type="spellStart"/>
      <w:r>
        <w:rPr>
          <w:rFonts w:ascii="Times New Roman" w:hAnsi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>
        <w:rPr>
          <w:rFonts w:ascii="Times New Roman" w:hAnsi="Times New Roman"/>
          <w:sz w:val="28"/>
          <w:szCs w:val="28"/>
        </w:rPr>
        <w:t>відкритого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/>
          <w:sz w:val="28"/>
          <w:szCs w:val="28"/>
        </w:rPr>
        <w:t xml:space="preserve">. Участь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стадіях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продовжуватись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. Участь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формалізованою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слухань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gramStart"/>
      <w:r>
        <w:rPr>
          <w:rFonts w:ascii="Times New Roman" w:hAnsi="Times New Roman"/>
          <w:sz w:val="28"/>
          <w:szCs w:val="28"/>
        </w:rPr>
        <w:t>широкого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консультативних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зв’язків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та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розповсюдження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проектування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окремим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висловити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/>
          <w:sz w:val="28"/>
          <w:szCs w:val="28"/>
        </w:rPr>
        <w:t>позицію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приводу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сприятливому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чистому </w:t>
      </w:r>
      <w:proofErr w:type="spellStart"/>
      <w:r>
        <w:rPr>
          <w:rFonts w:ascii="Times New Roman" w:hAnsi="Times New Roman"/>
          <w:sz w:val="28"/>
          <w:szCs w:val="28"/>
        </w:rPr>
        <w:t>довкіллі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Відкритість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прискорити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виникатимуть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конкретного проекту, </w:t>
      </w:r>
      <w:proofErr w:type="spellStart"/>
      <w:r>
        <w:rPr>
          <w:rFonts w:ascii="Times New Roman" w:hAnsi="Times New Roman"/>
          <w:sz w:val="28"/>
          <w:szCs w:val="28"/>
        </w:rPr>
        <w:t>дасть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окремим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обґрунтований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ризиків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запропонованою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широко участь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gramEnd"/>
      <w:r>
        <w:rPr>
          <w:rFonts w:ascii="Times New Roman" w:hAnsi="Times New Roman"/>
          <w:sz w:val="28"/>
          <w:szCs w:val="28"/>
        </w:rPr>
        <w:t>ійсненні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паралельно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Доц</w:t>
      </w:r>
      <w:proofErr w:type="gramEnd"/>
      <w:r>
        <w:rPr>
          <w:rFonts w:ascii="Times New Roman" w:hAnsi="Times New Roman"/>
          <w:sz w:val="28"/>
          <w:szCs w:val="28"/>
        </w:rPr>
        <w:t>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, тих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активісти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корисною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розповсюдження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ідкісних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цінних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конкретній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потрібна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стадіях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ІІ.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описати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в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Вашого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варіанту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(див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аріанти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 2-5, </w:t>
      </w:r>
      <w:proofErr w:type="spellStart"/>
      <w:r>
        <w:rPr>
          <w:rFonts w:ascii="Times New Roman" w:hAnsi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sz w:val="28"/>
          <w:szCs w:val="28"/>
        </w:rPr>
        <w:t xml:space="preserve"> 2).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 </w:t>
      </w:r>
      <w:proofErr w:type="spellStart"/>
      <w:r>
        <w:rPr>
          <w:rFonts w:ascii="Times New Roman" w:hAnsi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Вашим проектом.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план-</w:t>
      </w:r>
      <w:proofErr w:type="spellStart"/>
      <w:r>
        <w:rPr>
          <w:rFonts w:ascii="Times New Roman" w:hAnsi="Times New Roman"/>
          <w:sz w:val="28"/>
          <w:szCs w:val="28"/>
        </w:rPr>
        <w:t>графік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з </w:t>
      </w:r>
      <w:proofErr w:type="spellStart"/>
      <w:r>
        <w:rPr>
          <w:rFonts w:ascii="Times New Roman" w:hAnsi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sz w:val="28"/>
          <w:szCs w:val="28"/>
        </w:rPr>
        <w:t xml:space="preserve"> 3).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sz w:val="28"/>
          <w:szCs w:val="28"/>
        </w:rPr>
        <w:t xml:space="preserve"> 3. План-</w:t>
      </w:r>
      <w:proofErr w:type="spellStart"/>
      <w:r>
        <w:rPr>
          <w:rFonts w:ascii="Times New Roman" w:hAnsi="Times New Roman"/>
          <w:sz w:val="28"/>
          <w:szCs w:val="28"/>
        </w:rPr>
        <w:t>графік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з </w:t>
      </w:r>
      <w:proofErr w:type="spellStart"/>
      <w:r>
        <w:rPr>
          <w:rFonts w:ascii="Times New Roman" w:hAnsi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4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141"/>
        <w:gridCol w:w="1477"/>
        <w:gridCol w:w="3789"/>
      </w:tblGrid>
      <w:tr w:rsidR="00E20BE7" w:rsidTr="00E20BE7">
        <w:trPr>
          <w:trHeight w:val="1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дальний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заходу</w:t>
            </w:r>
          </w:p>
        </w:tc>
      </w:tr>
      <w:tr w:rsidR="00E20BE7" w:rsidTr="00E20BE7">
        <w:trPr>
          <w:trHeight w:val="1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Тривалість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оцінки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впливу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довкілля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великомасштабних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проекті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Можливі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громадськість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ініціативна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інвестор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проектувальник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-менеджер,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спостерігачі</w:t>
            </w:r>
            <w:proofErr w:type="spellEnd"/>
          </w:p>
        </w:tc>
      </w:tr>
      <w:tr w:rsidR="00E20BE7" w:rsidTr="00E20BE7">
        <w:trPr>
          <w:trHeight w:val="1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7" w:rsidRDefault="00E20BE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7" w:rsidRDefault="00E20BE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7" w:rsidRDefault="00E20BE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BE7" w:rsidTr="00E20BE7">
        <w:trPr>
          <w:trHeight w:val="1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E7" w:rsidRDefault="00E20B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7" w:rsidRDefault="00E20BE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7" w:rsidRDefault="00E20BE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7" w:rsidRDefault="00E20BE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Навести 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Ви </w:t>
      </w:r>
      <w:proofErr w:type="spellStart"/>
      <w:r>
        <w:rPr>
          <w:rFonts w:ascii="Times New Roman" w:hAnsi="Times New Roman"/>
          <w:sz w:val="28"/>
          <w:szCs w:val="28"/>
        </w:rPr>
        <w:t>пропонуєте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проектом.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Заяву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наміри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</w:p>
    <w:p w:rsidR="00E20BE7" w:rsidRDefault="00E20BE7" w:rsidP="00E20BE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самоконтролю: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еколого-токсикологічний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ґрунтової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цілей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перевищення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ГДК за вмісту </w:t>
      </w:r>
      <w:proofErr w:type="spellStart"/>
      <w:r>
        <w:rPr>
          <w:rFonts w:ascii="Times New Roman" w:hAnsi="Times New Roman"/>
          <w:sz w:val="28"/>
          <w:szCs w:val="28"/>
        </w:rPr>
        <w:t>токсикантів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ґрунті</w:t>
      </w:r>
      <w:proofErr w:type="spellEnd"/>
      <w:r>
        <w:rPr>
          <w:rFonts w:ascii="Times New Roman" w:hAnsi="Times New Roman"/>
          <w:sz w:val="28"/>
          <w:szCs w:val="28"/>
        </w:rPr>
        <w:t xml:space="preserve"> у 2-2,5 рази, </w:t>
      </w:r>
      <w:proofErr w:type="spellStart"/>
      <w:r>
        <w:rPr>
          <w:rFonts w:ascii="Times New Roman" w:hAnsi="Times New Roman"/>
          <w:sz w:val="28"/>
          <w:szCs w:val="28"/>
        </w:rPr>
        <w:t>кларку</w:t>
      </w:r>
      <w:proofErr w:type="spellEnd"/>
      <w:r>
        <w:rPr>
          <w:rFonts w:ascii="Times New Roman" w:hAnsi="Times New Roman"/>
          <w:sz w:val="28"/>
          <w:szCs w:val="28"/>
        </w:rPr>
        <w:t xml:space="preserve"> 5-6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перевищення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ГДК за </w:t>
      </w:r>
      <w:proofErr w:type="spellStart"/>
      <w:r>
        <w:rPr>
          <w:rFonts w:ascii="Times New Roman" w:hAnsi="Times New Roman"/>
          <w:sz w:val="28"/>
          <w:szCs w:val="28"/>
        </w:rPr>
        <w:t>вмістом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токсикантів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ґрунті</w:t>
      </w:r>
      <w:proofErr w:type="spellEnd"/>
      <w:r>
        <w:rPr>
          <w:rFonts w:ascii="Times New Roman" w:hAnsi="Times New Roman"/>
          <w:sz w:val="28"/>
          <w:szCs w:val="28"/>
        </w:rPr>
        <w:t xml:space="preserve"> у 1-1,5 рази, </w:t>
      </w:r>
      <w:proofErr w:type="spellStart"/>
      <w:r>
        <w:rPr>
          <w:rFonts w:ascii="Times New Roman" w:hAnsi="Times New Roman"/>
          <w:sz w:val="28"/>
          <w:szCs w:val="28"/>
        </w:rPr>
        <w:t>кларку</w:t>
      </w:r>
      <w:proofErr w:type="spellEnd"/>
      <w:r>
        <w:rPr>
          <w:rFonts w:ascii="Times New Roman" w:hAnsi="Times New Roman"/>
          <w:sz w:val="28"/>
          <w:szCs w:val="28"/>
        </w:rPr>
        <w:t xml:space="preserve"> у 2 рази;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перевищення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ГДК за вмісту </w:t>
      </w:r>
      <w:proofErr w:type="spellStart"/>
      <w:r>
        <w:rPr>
          <w:rFonts w:ascii="Times New Roman" w:hAnsi="Times New Roman"/>
          <w:sz w:val="28"/>
          <w:szCs w:val="28"/>
        </w:rPr>
        <w:t>токсикантів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ґрунті</w:t>
      </w:r>
      <w:proofErr w:type="spellEnd"/>
      <w:r>
        <w:rPr>
          <w:rFonts w:ascii="Times New Roman" w:hAnsi="Times New Roman"/>
          <w:sz w:val="28"/>
          <w:szCs w:val="28"/>
        </w:rPr>
        <w:t xml:space="preserve"> у 0,2-0,5 рази, </w:t>
      </w:r>
      <w:proofErr w:type="spellStart"/>
      <w:r>
        <w:rPr>
          <w:rFonts w:ascii="Times New Roman" w:hAnsi="Times New Roman"/>
          <w:sz w:val="28"/>
          <w:szCs w:val="28"/>
        </w:rPr>
        <w:t>кларку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/>
          <w:sz w:val="28"/>
          <w:szCs w:val="28"/>
        </w:rPr>
        <w:t>перевищення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ГДК за вмісту </w:t>
      </w:r>
      <w:proofErr w:type="spellStart"/>
      <w:r>
        <w:rPr>
          <w:rFonts w:ascii="Times New Roman" w:hAnsi="Times New Roman"/>
          <w:sz w:val="28"/>
          <w:szCs w:val="28"/>
        </w:rPr>
        <w:t>токсикантів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ґрунті</w:t>
      </w:r>
      <w:proofErr w:type="spellEnd"/>
      <w:r>
        <w:rPr>
          <w:rFonts w:ascii="Times New Roman" w:hAnsi="Times New Roman"/>
          <w:sz w:val="28"/>
          <w:szCs w:val="28"/>
        </w:rPr>
        <w:t xml:space="preserve"> у 5 раз, </w:t>
      </w:r>
      <w:proofErr w:type="spellStart"/>
      <w:r>
        <w:rPr>
          <w:rFonts w:ascii="Times New Roman" w:hAnsi="Times New Roman"/>
          <w:sz w:val="28"/>
          <w:szCs w:val="28"/>
        </w:rPr>
        <w:t>кларку</w:t>
      </w:r>
      <w:proofErr w:type="spellEnd"/>
      <w:r>
        <w:rPr>
          <w:rFonts w:ascii="Times New Roman" w:hAnsi="Times New Roman"/>
          <w:sz w:val="28"/>
          <w:szCs w:val="28"/>
        </w:rPr>
        <w:t xml:space="preserve"> у 5-6 раз; </w:t>
      </w:r>
    </w:p>
    <w:p w:rsidR="00E20BE7" w:rsidRDefault="00E20BE7" w:rsidP="00E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перевищення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ГДК за вмісту </w:t>
      </w:r>
      <w:proofErr w:type="spellStart"/>
      <w:r>
        <w:rPr>
          <w:rFonts w:ascii="Times New Roman" w:hAnsi="Times New Roman"/>
          <w:sz w:val="28"/>
          <w:szCs w:val="28"/>
        </w:rPr>
        <w:t>токсикантів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ґрунті</w:t>
      </w:r>
      <w:proofErr w:type="spellEnd"/>
      <w:r>
        <w:rPr>
          <w:rFonts w:ascii="Times New Roman" w:hAnsi="Times New Roman"/>
          <w:sz w:val="28"/>
          <w:szCs w:val="28"/>
        </w:rPr>
        <w:t xml:space="preserve"> у 0,5-1 раз, </w:t>
      </w:r>
      <w:proofErr w:type="spellStart"/>
      <w:r>
        <w:rPr>
          <w:rFonts w:ascii="Times New Roman" w:hAnsi="Times New Roman"/>
          <w:sz w:val="28"/>
          <w:szCs w:val="28"/>
        </w:rPr>
        <w:t>кларку</w:t>
      </w:r>
      <w:proofErr w:type="spellEnd"/>
      <w:r>
        <w:rPr>
          <w:rFonts w:ascii="Times New Roman" w:hAnsi="Times New Roman"/>
          <w:sz w:val="28"/>
          <w:szCs w:val="28"/>
        </w:rPr>
        <w:t xml:space="preserve"> у 2,5 раз.</w:t>
      </w:r>
    </w:p>
    <w:p w:rsidR="00E20BE7" w:rsidRDefault="00E20BE7" w:rsidP="00E20B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 </w:t>
      </w:r>
      <w:proofErr w:type="spellStart"/>
      <w:r>
        <w:rPr>
          <w:rFonts w:ascii="Times New Roman" w:hAnsi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/>
          <w:sz w:val="28"/>
          <w:szCs w:val="28"/>
        </w:rPr>
        <w:t xml:space="preserve"> тип </w:t>
      </w:r>
      <w:proofErr w:type="spellStart"/>
      <w:r>
        <w:rPr>
          <w:rFonts w:ascii="Times New Roman" w:hAnsi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вмістом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ґрунті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пестицидів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катастрофічному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рослинах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ГДК —больше 1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/>
          <w:sz w:val="28"/>
          <w:szCs w:val="28"/>
        </w:rPr>
        <w:t>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рослинах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ГДК — 1-1,5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рослинах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ГДК —2-10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рослинах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ГДК —1,5-2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рослинах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ГДК —0,8-2</w:t>
      </w:r>
    </w:p>
    <w:p w:rsidR="00E20BE7" w:rsidRDefault="00E20BE7" w:rsidP="00E20BE7">
      <w:pPr>
        <w:ind w:firstLine="708"/>
        <w:jc w:val="both"/>
      </w:pPr>
    </w:p>
    <w:p w:rsidR="00E20BE7" w:rsidRDefault="00E20BE7" w:rsidP="00E20BE7">
      <w:pPr>
        <w:ind w:firstLine="708"/>
        <w:jc w:val="both"/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spacing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Заява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наміри</w:t>
      </w:r>
      <w:proofErr w:type="spellEnd"/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Комунальне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зареєстроване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69037, </w:t>
      </w:r>
      <w:proofErr w:type="spellStart"/>
      <w:r>
        <w:rPr>
          <w:rFonts w:ascii="Times New Roman" w:hAnsi="Times New Roman"/>
          <w:sz w:val="28"/>
          <w:szCs w:val="28"/>
        </w:rPr>
        <w:t>Запорізька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Незалежної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60б, </w:t>
      </w:r>
      <w:proofErr w:type="spellStart"/>
      <w:r>
        <w:rPr>
          <w:rFonts w:ascii="Times New Roman" w:hAnsi="Times New Roman"/>
          <w:sz w:val="28"/>
          <w:szCs w:val="28"/>
        </w:rPr>
        <w:t>заявляє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наміри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206 в м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об'єкта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206 в м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восьма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ремонту)» (</w:t>
      </w:r>
      <w:proofErr w:type="spellStart"/>
      <w:r>
        <w:rPr>
          <w:rFonts w:ascii="Times New Roman" w:hAnsi="Times New Roman"/>
          <w:sz w:val="28"/>
          <w:szCs w:val="28"/>
        </w:rPr>
        <w:t>коригування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Планована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об'єктів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Транскордонного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gram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</w:t>
      </w:r>
      <w:proofErr w:type="gramEnd"/>
      <w:r>
        <w:rPr>
          <w:rFonts w:ascii="Times New Roman" w:hAnsi="Times New Roman"/>
          <w:sz w:val="28"/>
          <w:szCs w:val="28"/>
        </w:rPr>
        <w:t>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технологічні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чотириповерхова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Запорізька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рада. 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експлуатації-100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206 в м.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ліквідує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передаварійну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відновлює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інженерні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покращує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підвищує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комфортність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створює</w:t>
      </w:r>
      <w:proofErr w:type="spellEnd"/>
      <w:r>
        <w:rPr>
          <w:rFonts w:ascii="Times New Roman" w:hAnsi="Times New Roman"/>
          <w:sz w:val="28"/>
          <w:szCs w:val="28"/>
        </w:rPr>
        <w:t xml:space="preserve"> на час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. Потреба в ресурсах: </w:t>
      </w:r>
      <w:proofErr w:type="spellStart"/>
      <w:r>
        <w:rPr>
          <w:rFonts w:ascii="Times New Roman" w:hAnsi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- не </w:t>
      </w:r>
      <w:proofErr w:type="spellStart"/>
      <w:r>
        <w:rPr>
          <w:rFonts w:ascii="Times New Roman" w:hAnsi="Times New Roman"/>
          <w:sz w:val="28"/>
          <w:szCs w:val="28"/>
        </w:rPr>
        <w:t>вимагається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сировинних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будівельні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кошторису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будівництво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енергетичних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 ВАТ «</w:t>
      </w:r>
      <w:proofErr w:type="spellStart"/>
      <w:r>
        <w:rPr>
          <w:rFonts w:ascii="Times New Roman" w:hAnsi="Times New Roman"/>
          <w:sz w:val="28"/>
          <w:szCs w:val="28"/>
        </w:rPr>
        <w:t>Запоріжжяобленерго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/>
          <w:sz w:val="28"/>
          <w:szCs w:val="28"/>
        </w:rPr>
        <w:t>водних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існуючі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 у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КП «Водоканал», </w:t>
      </w:r>
      <w:proofErr w:type="spellStart"/>
      <w:r>
        <w:rPr>
          <w:rFonts w:ascii="Times New Roman" w:hAnsi="Times New Roman"/>
          <w:sz w:val="28"/>
          <w:szCs w:val="28"/>
        </w:rPr>
        <w:t>трудових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- при </w:t>
      </w:r>
      <w:proofErr w:type="spellStart"/>
      <w:r>
        <w:rPr>
          <w:rFonts w:ascii="Times New Roman" w:hAnsi="Times New Roman"/>
          <w:sz w:val="28"/>
          <w:szCs w:val="28"/>
        </w:rPr>
        <w:t>капітальному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ремонті</w:t>
      </w:r>
      <w:proofErr w:type="spellEnd"/>
      <w:r>
        <w:rPr>
          <w:rFonts w:ascii="Times New Roman" w:hAnsi="Times New Roman"/>
          <w:sz w:val="28"/>
          <w:szCs w:val="28"/>
        </w:rPr>
        <w:t xml:space="preserve"> - 13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експлуатації - 218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sz w:val="28"/>
          <w:szCs w:val="28"/>
        </w:rPr>
        <w:t>штатним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розкладом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Транспортне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при </w:t>
      </w:r>
      <w:proofErr w:type="spellStart"/>
      <w:r>
        <w:rPr>
          <w:rFonts w:ascii="Times New Roman" w:hAnsi="Times New Roman"/>
          <w:sz w:val="28"/>
          <w:szCs w:val="28"/>
        </w:rPr>
        <w:t>будівництві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автотранспорт </w:t>
      </w:r>
      <w:proofErr w:type="spellStart"/>
      <w:r>
        <w:rPr>
          <w:rFonts w:ascii="Times New Roman" w:hAnsi="Times New Roman"/>
          <w:sz w:val="28"/>
          <w:szCs w:val="28"/>
        </w:rPr>
        <w:t>будівельних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організаційпідрядників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експлуатації автотранспорт </w:t>
      </w:r>
      <w:proofErr w:type="spellStart"/>
      <w:r>
        <w:rPr>
          <w:rFonts w:ascii="Times New Roman" w:hAnsi="Times New Roman"/>
          <w:sz w:val="28"/>
          <w:szCs w:val="28"/>
        </w:rPr>
        <w:t>міськради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санітарних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»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</w:t>
      </w:r>
      <w:proofErr w:type="gramEnd"/>
      <w:r>
        <w:rPr>
          <w:rFonts w:ascii="Times New Roman" w:hAnsi="Times New Roman"/>
          <w:sz w:val="28"/>
          <w:szCs w:val="28"/>
        </w:rPr>
        <w:t>іністративної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нормативна </w:t>
      </w:r>
      <w:proofErr w:type="spellStart"/>
      <w:r>
        <w:rPr>
          <w:rFonts w:ascii="Times New Roman" w:hAnsi="Times New Roman"/>
          <w:sz w:val="28"/>
          <w:szCs w:val="28"/>
        </w:rPr>
        <w:t>санітарно-захисна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 не </w:t>
      </w:r>
      <w:proofErr w:type="spellStart"/>
      <w:r>
        <w:rPr>
          <w:rFonts w:ascii="Times New Roman" w:hAnsi="Times New Roman"/>
          <w:sz w:val="28"/>
          <w:szCs w:val="28"/>
        </w:rPr>
        <w:t>встановлена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Необхідна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інженерна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клімат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мікроклімат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рослинний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тваринний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об'єкти</w:t>
      </w:r>
      <w:proofErr w:type="spellEnd"/>
      <w:r>
        <w:rPr>
          <w:rFonts w:ascii="Times New Roman" w:hAnsi="Times New Roman"/>
          <w:sz w:val="28"/>
          <w:szCs w:val="28"/>
        </w:rPr>
        <w:t xml:space="preserve">, грунт, </w:t>
      </w:r>
      <w:proofErr w:type="spellStart"/>
      <w:r>
        <w:rPr>
          <w:rFonts w:ascii="Times New Roman" w:hAnsi="Times New Roman"/>
          <w:sz w:val="28"/>
          <w:szCs w:val="28"/>
        </w:rPr>
        <w:t>навколишнє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техногенне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відсутній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повітряну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середу - </w:t>
      </w:r>
      <w:proofErr w:type="spellStart"/>
      <w:r>
        <w:rPr>
          <w:rFonts w:ascii="Times New Roman" w:hAnsi="Times New Roman"/>
          <w:sz w:val="28"/>
          <w:szCs w:val="28"/>
        </w:rPr>
        <w:t>викиди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атмосферне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капітальному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/>
          <w:sz w:val="28"/>
          <w:szCs w:val="28"/>
        </w:rPr>
        <w:t xml:space="preserve"> ОВНС, </w:t>
      </w:r>
      <w:proofErr w:type="spellStart"/>
      <w:r>
        <w:rPr>
          <w:rFonts w:ascii="Times New Roman" w:hAnsi="Times New Roman"/>
          <w:sz w:val="28"/>
          <w:szCs w:val="28"/>
        </w:rPr>
        <w:t>навколишнє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прийнятний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ібрані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вивозити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ліцензію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поводження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>
        <w:rPr>
          <w:rFonts w:ascii="Times New Roman" w:hAnsi="Times New Roman"/>
          <w:sz w:val="28"/>
          <w:szCs w:val="28"/>
        </w:rPr>
        <w:t>відходів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укладеними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договорами.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ОВНС -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ДБН А.2.2-1-2003 «Склад і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навколишнє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(ОВНС) при </w:t>
      </w:r>
      <w:proofErr w:type="spellStart"/>
      <w:r>
        <w:rPr>
          <w:rFonts w:ascii="Times New Roman" w:hAnsi="Times New Roman"/>
          <w:sz w:val="28"/>
          <w:szCs w:val="28"/>
        </w:rPr>
        <w:t>проектуванні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будівництві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підприємств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проектними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подача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hAnsi="Times New Roman"/>
          <w:sz w:val="28"/>
          <w:szCs w:val="28"/>
        </w:rPr>
        <w:t>публікац</w:t>
      </w:r>
      <w:proofErr w:type="gramStart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 xml:space="preserve">аяви про </w:t>
      </w:r>
      <w:proofErr w:type="spellStart"/>
      <w:r>
        <w:rPr>
          <w:rFonts w:ascii="Times New Roman" w:hAnsi="Times New Roman"/>
          <w:sz w:val="28"/>
          <w:szCs w:val="28"/>
        </w:rPr>
        <w:t>наміри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понеділка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п'ятницю</w:t>
      </w:r>
      <w:proofErr w:type="spellEnd"/>
      <w:r>
        <w:rPr>
          <w:rFonts w:ascii="Times New Roman" w:hAnsi="Times New Roman"/>
          <w:sz w:val="28"/>
          <w:szCs w:val="28"/>
        </w:rPr>
        <w:t xml:space="preserve"> з 9-00 до 16-00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Запорізька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Незалежної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60б, (061) 233-18-56. 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hAnsi="Times New Roman"/>
          <w:sz w:val="28"/>
          <w:szCs w:val="28"/>
        </w:rPr>
        <w:t>публікац</w:t>
      </w:r>
      <w:proofErr w:type="gramStart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 xml:space="preserve">аяви про </w:t>
      </w:r>
      <w:proofErr w:type="spellStart"/>
      <w:r>
        <w:rPr>
          <w:rFonts w:ascii="Times New Roman" w:hAnsi="Times New Roman"/>
          <w:sz w:val="28"/>
          <w:szCs w:val="28"/>
        </w:rPr>
        <w:t>наміри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Запорізьку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облдержадміністрацію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>
        <w:rPr>
          <w:rFonts w:ascii="Times New Roman" w:hAnsi="Times New Roman"/>
          <w:sz w:val="28"/>
          <w:szCs w:val="28"/>
        </w:rPr>
        <w:t>Соборний</w:t>
      </w:r>
      <w:proofErr w:type="spellEnd"/>
      <w:r>
        <w:rPr>
          <w:rFonts w:ascii="Times New Roman" w:hAnsi="Times New Roman"/>
          <w:sz w:val="28"/>
          <w:szCs w:val="28"/>
        </w:rPr>
        <w:t xml:space="preserve">, 164. </w:t>
      </w:r>
      <w:proofErr w:type="spellStart"/>
      <w:r>
        <w:rPr>
          <w:rFonts w:ascii="Times New Roman" w:hAnsi="Times New Roman"/>
          <w:sz w:val="28"/>
          <w:szCs w:val="28"/>
        </w:rPr>
        <w:t>Контактний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телефон (061) 224-65-63. 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E7" w:rsidRDefault="00E20BE7" w:rsidP="00E20B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Заява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b/>
          <w:sz w:val="28"/>
          <w:szCs w:val="28"/>
        </w:rPr>
        <w:t>екологічні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наслідки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зареєстроване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69037, </w:t>
      </w:r>
      <w:proofErr w:type="spellStart"/>
      <w:r>
        <w:rPr>
          <w:rFonts w:ascii="Times New Roman" w:hAnsi="Times New Roman"/>
          <w:sz w:val="28"/>
          <w:szCs w:val="28"/>
        </w:rPr>
        <w:t>Запорізька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місто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60-Б, </w:t>
      </w:r>
      <w:proofErr w:type="spellStart"/>
      <w:r>
        <w:rPr>
          <w:rFonts w:ascii="Times New Roman" w:hAnsi="Times New Roman"/>
          <w:sz w:val="28"/>
          <w:szCs w:val="28"/>
        </w:rPr>
        <w:t>заявляє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плануємого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об'єкта</w:t>
      </w:r>
      <w:proofErr w:type="spellEnd"/>
      <w:r>
        <w:rPr>
          <w:rFonts w:ascii="Times New Roman" w:hAnsi="Times New Roman"/>
          <w:sz w:val="28"/>
          <w:szCs w:val="28"/>
        </w:rPr>
        <w:t>: "</w:t>
      </w:r>
      <w:proofErr w:type="spellStart"/>
      <w:r>
        <w:rPr>
          <w:rFonts w:ascii="Times New Roman" w:hAnsi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206 в м .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восьма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черга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ремонту)" (</w:t>
      </w:r>
      <w:proofErr w:type="spellStart"/>
      <w:r>
        <w:rPr>
          <w:rFonts w:ascii="Times New Roman" w:hAnsi="Times New Roman"/>
          <w:sz w:val="28"/>
          <w:szCs w:val="28"/>
        </w:rPr>
        <w:t>коригування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Запорізька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>
        <w:rPr>
          <w:rFonts w:ascii="Times New Roman" w:hAnsi="Times New Roman"/>
          <w:sz w:val="28"/>
          <w:szCs w:val="28"/>
        </w:rPr>
        <w:t>Соборний</w:t>
      </w:r>
      <w:proofErr w:type="spellEnd"/>
      <w:r>
        <w:rPr>
          <w:rFonts w:ascii="Times New Roman" w:hAnsi="Times New Roman"/>
          <w:sz w:val="28"/>
          <w:szCs w:val="28"/>
        </w:rPr>
        <w:t xml:space="preserve">, 206. </w:t>
      </w:r>
      <w:proofErr w:type="spellStart"/>
      <w:r>
        <w:rPr>
          <w:rFonts w:ascii="Times New Roman" w:hAnsi="Times New Roman"/>
          <w:sz w:val="28"/>
          <w:szCs w:val="28"/>
        </w:rPr>
        <w:t>Даним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>
        <w:rPr>
          <w:rFonts w:ascii="Times New Roman" w:hAnsi="Times New Roman"/>
          <w:sz w:val="28"/>
          <w:szCs w:val="28"/>
        </w:rPr>
        <w:t>передбачається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(8 </w:t>
      </w:r>
      <w:proofErr w:type="spellStart"/>
      <w:r>
        <w:rPr>
          <w:rFonts w:ascii="Times New Roman" w:hAnsi="Times New Roman"/>
          <w:sz w:val="28"/>
          <w:szCs w:val="28"/>
        </w:rPr>
        <w:t>черга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, 206 в м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BE7" w:rsidRDefault="00E20BE7" w:rsidP="00E20BE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Планована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об'єктів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експлуатації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пр. </w:t>
      </w:r>
      <w:proofErr w:type="spellStart"/>
      <w:r>
        <w:rPr>
          <w:rFonts w:ascii="Times New Roman" w:hAnsi="Times New Roman"/>
          <w:sz w:val="28"/>
          <w:szCs w:val="28"/>
        </w:rPr>
        <w:t>Соборний</w:t>
      </w:r>
      <w:proofErr w:type="spellEnd"/>
      <w:r>
        <w:rPr>
          <w:rFonts w:ascii="Times New Roman" w:hAnsi="Times New Roman"/>
          <w:sz w:val="28"/>
          <w:szCs w:val="28"/>
        </w:rPr>
        <w:t xml:space="preserve">, 206 в м </w:t>
      </w:r>
      <w:proofErr w:type="spellStart"/>
      <w:r>
        <w:rPr>
          <w:rFonts w:ascii="Times New Roman" w:hAnsi="Times New Roman"/>
          <w:sz w:val="28"/>
          <w:szCs w:val="28"/>
        </w:rPr>
        <w:t>Запоріжжі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ремонту (8 </w:t>
      </w:r>
      <w:proofErr w:type="spellStart"/>
      <w:r>
        <w:rPr>
          <w:rFonts w:ascii="Times New Roman" w:hAnsi="Times New Roman"/>
          <w:sz w:val="28"/>
          <w:szCs w:val="28"/>
        </w:rPr>
        <w:t>черга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забруднюючих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атмосферне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Експлуатація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об'єкта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негативного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клімат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мікроклімат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повітряну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ґрунти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рослинний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тваринний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об'єкти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навколишнє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техногенне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Відходи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утворюються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накопичуються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тарі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спеціально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спеціалізованим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укладених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Підприємство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гарантує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>
        <w:rPr>
          <w:rFonts w:ascii="Times New Roman" w:hAnsi="Times New Roman"/>
          <w:sz w:val="28"/>
          <w:szCs w:val="28"/>
        </w:rPr>
        <w:t>здійсненні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своєчасно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впроваджувати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розроблені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слідувати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нормам і </w:t>
      </w:r>
      <w:proofErr w:type="spellStart"/>
      <w:r>
        <w:rPr>
          <w:rFonts w:ascii="Times New Roman" w:hAnsi="Times New Roman"/>
          <w:sz w:val="28"/>
          <w:szCs w:val="28"/>
        </w:rPr>
        <w:t>вимогам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природоохоронного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Подача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hAnsi="Times New Roman"/>
          <w:sz w:val="28"/>
          <w:szCs w:val="28"/>
        </w:rPr>
        <w:t>публікації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 про </w:t>
      </w:r>
      <w:proofErr w:type="spellStart"/>
      <w:r>
        <w:rPr>
          <w:rFonts w:ascii="Times New Roman" w:hAnsi="Times New Roman"/>
          <w:sz w:val="28"/>
          <w:szCs w:val="28"/>
        </w:rPr>
        <w:t>екологічні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Запорізьку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облдержадміністрацію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164 </w:t>
      </w:r>
      <w:proofErr w:type="spellStart"/>
      <w:r>
        <w:rPr>
          <w:rFonts w:ascii="Times New Roman" w:hAnsi="Times New Roman"/>
          <w:sz w:val="28"/>
          <w:szCs w:val="28"/>
        </w:rPr>
        <w:t>Контактний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телефон (061) 224-65-63.</w:t>
      </w:r>
    </w:p>
    <w:p w:rsidR="009F3410" w:rsidRDefault="009F3410"/>
    <w:sectPr w:rsidR="009F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58"/>
    <w:rsid w:val="00355758"/>
    <w:rsid w:val="009F3410"/>
    <w:rsid w:val="00AE1135"/>
    <w:rsid w:val="00CE1EE7"/>
    <w:rsid w:val="00E2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userznu</cp:lastModifiedBy>
  <cp:revision>7</cp:revision>
  <cp:lastPrinted>2021-04-12T12:10:00Z</cp:lastPrinted>
  <dcterms:created xsi:type="dcterms:W3CDTF">2021-04-09T11:47:00Z</dcterms:created>
  <dcterms:modified xsi:type="dcterms:W3CDTF">2021-04-12T12:10:00Z</dcterms:modified>
</cp:coreProperties>
</file>