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highlight w:val="white"/>
          <w:lang w:val="uk-UA"/>
        </w:rPr>
        <w:t>Другий закон термодинаміки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Закон збереження енергії стверджує, що кількість енергії при будь-яких процесах залишається незмінним. Але він нічого не говорить про те, які енергетичні перетворення можливі.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Закон збереження енергії не забороняє процеси, які на досліді не відбуваються: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- нагрівання більш нагрітого тіла більш холодним;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- мимовільне розгойдування маятника зі стану спокою;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- збирання піску в камінь і т.д.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Процеси в природі мають певну спрямованість. У зворотному напрямку довільно вони протікати не можуть. Всі процеси в природі необоротні.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Необоротним процесом може бути названий такий процес, зворотний якому може протікати тільки як одна з ланок складнішого процесу. Довільними називаються такі процеси, які відбуваються без впливу зовнішніх тіл, а значить, без змін у цих тілах.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Процеси переходу системи з одного стану в інший, які можна провести в зворотному напрямі через ту ж послідовність проміжних рівноважних станів, називаються оборотними. При цьому сама система і навколишні тіла повністю повертаються до вихідного стану.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Другий закон термодинаміки вказує напрямок можливих енергетичних перетворень і тим самим висловлює незворотність процесів у природі. Він встановлений шляхом безпосереднього узагальнення дослідних фактів.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Другий закон термодинаміки, як і перший (закон збереження енергії) встановлено емпіричним шляхом. Вперше його сформулював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Клаузіус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: «</w:t>
      </w:r>
      <w:r w:rsidRPr="00A975FB">
        <w:rPr>
          <w:rFonts w:ascii="Times New Roman" w:hAnsi="Times New Roman" w:cs="Times New Roman"/>
          <w:b/>
          <w:bCs/>
          <w:i/>
          <w:sz w:val="28"/>
          <w:szCs w:val="28"/>
          <w:highlight w:val="white"/>
          <w:lang w:val="uk-UA"/>
        </w:rPr>
        <w:t xml:space="preserve">теплота сама собою переходить лише від тіла з більшою температурою до тіла з меншою температурою і не може довільно </w:t>
      </w:r>
      <w:r w:rsidRPr="00A975FB">
        <w:rPr>
          <w:rFonts w:ascii="Times New Roman" w:hAnsi="Times New Roman" w:cs="Times New Roman"/>
          <w:b/>
          <w:bCs/>
          <w:i/>
          <w:sz w:val="28"/>
          <w:szCs w:val="28"/>
          <w:highlight w:val="white"/>
          <w:lang w:val="uk-UA"/>
        </w:rPr>
        <w:lastRenderedPageBreak/>
        <w:t>переходити у зворотному напрямку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»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[2].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Інше формулювання: </w:t>
      </w:r>
      <w:r w:rsidRPr="00A975FB">
        <w:rPr>
          <w:rFonts w:ascii="Times New Roman" w:hAnsi="Times New Roman" w:cs="Times New Roman"/>
          <w:b/>
          <w:bCs/>
          <w:i/>
          <w:sz w:val="28"/>
          <w:szCs w:val="28"/>
          <w:highlight w:val="white"/>
          <w:lang w:val="uk-UA"/>
        </w:rPr>
        <w:t>всі довільні процеси в природі йдуть зі збільшенням ентропії</w:t>
      </w:r>
      <w:r w:rsidRPr="00A975FB">
        <w:rPr>
          <w:rFonts w:ascii="Times New Roman" w:hAnsi="Times New Roman" w:cs="Times New Roman"/>
          <w:b/>
          <w:bCs/>
          <w:sz w:val="28"/>
          <w:szCs w:val="28"/>
          <w:highlight w:val="white"/>
          <w:lang w:val="uk-UA"/>
        </w:rPr>
        <w:t>.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(Ентропія виступає як міра хаотичності, невпорядкованості системи).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систему з двох контактуючих тіл з різними температурами. Тепло піде від тіла з більшою температурою до тіла з меншою до тих пір, поки температури обох тіл не вирівняються. При цьому від одного тіла до іншого буде передано певну кількість тепла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dQ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Але ентропія при цьому у першого тіла зменшиться на меншу величину, ніж вона збільшиться у другого тіла, яке приймає теплоту, так як, за визначенням,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dS=dQ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/T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(температура в знаменнику). Тобто, в результаті цього довільного процесу ентропія системи з двох тіл стане більше суми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ентропій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цих тіл до початку процесу. Інакше кажучи, довільний процес передачі тепла від тіла з високою температурою до тіла з більш низькою температурою призвів до того, що ентропія системи з цих двох тіл збільшилася.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Початкові значення: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54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S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=Q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/T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;    S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=Q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/T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;    S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+ S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 xml:space="preserve">2 </w:t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 w:eastAsia="uk-UA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uk-UA"/>
                  </w:rPr>
                  <m:t>Q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en-US" w:eastAsia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uk-UA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en-US" w:eastAsia="uk-UA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  <w:lang w:val="en-US" w:eastAsia="uk-UA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uk-UA"/>
                  </w:rPr>
                  <m:t>Q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en-US" w:eastAsia="uk-UA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uk-UA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en-US" w:eastAsia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uk-UA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en-US" w:eastAsia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uk-UA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en-US" w:eastAsia="uk-UA"/>
                  </w:rPr>
                  <m:t>2</m:t>
                </m:r>
              </m:sub>
            </m:sSub>
          </m:den>
        </m:f>
      </m:oMath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;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>T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 w:eastAsia="uk-UA"/>
        </w:rPr>
        <w:t>1</w:t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sym w:font="Symbol" w:char="003E"/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>T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 w:eastAsia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  <w:t>(1.96)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Після теплообміну: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S'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 xml:space="preserve">1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= (Q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 xml:space="preserve">1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-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dq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)/T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S'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 xml:space="preserve">2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= (Q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+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dq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)/T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;   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S'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+ S'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 xml:space="preserve">2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=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object w:dxaOrig="2560" w:dyaOrig="680">
          <v:shape id="_x0000_i1025" type="#_x0000_t75" style="width:127.8pt;height:34.2pt" o:ole="">
            <v:imagedata r:id="rId5" o:title=""/>
          </v:shape>
          <o:OLEObject Type="Embed" ProgID="Equation.3" ShapeID="_x0000_i1025" DrawAspect="Content" ObjectID="_1688451115" r:id="rId6"/>
        </w:objec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>S'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 w:eastAsia="uk-UA"/>
        </w:rPr>
        <w:t>1</w:t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>+ S'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 w:eastAsia="uk-UA"/>
        </w:rPr>
        <w:t>2</w:t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sym w:font="Symbol" w:char="F03E"/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S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 w:eastAsia="uk-UA"/>
        </w:rPr>
        <w:t>1</w:t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>+ S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 w:eastAsia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(1.97)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Зауважимо, що, розглядаючи цю систему з двох тіл, ми мали на увазі, що зовнішнього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теплопритокудо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неї або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тепловідтоку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з неї немає, тобто вважали її ізольованою (або замкнутою). Звідси ще одне формулювання другого закону термодинаміки: «</w:t>
      </w:r>
      <w:r w:rsidRPr="00A975F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При проходженні в ізольованій системі довільних процесів ентропія системи зростає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». Або: «</w:t>
      </w:r>
      <w:r w:rsidRPr="00A975F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Ентропія ізольованої системи прагне до максимуму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» - так як довільні процеси передачі тепла завжди будуть відбуватися, поки є перепади температур [2].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Клаузіус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, розглядаючи другий закон термодинаміки, дійшов до висновку, що ентропія Всесвіту як замкнутої системи прагне до максимуму, і врешті-решт у Всесвіті закінчаться всі макроскопічні процеси. Цей стан Всесвіту отримав назву «теплової смерті».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Другийзакон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термодинаміки задає обмеження на напрям процесів, які можуть відбуватися в термодинамічних системах, і виключає можливість створення вічного двигуна другого роду. Під таким двигуном мається на увазі двигун, який здатний повністю перетворювати в роботу всю теплоту, отриману від одного джерела.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Між перетворенням теплоти в роботу і роботи в теплоту є глибоке розходження. Робота, як і інші види енергії, легко і повністю перетворюється в теплоту. Зворотний процес можливий тільки при наявності різниці температур, при цьому вся теплота не може бути повністю перетворена на роботу.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Ентропія породжується всіма процесами, вона пов'язана з втратою системи здатності здійснювати роботу. Зростання ентропії - стихійний процес. Якщо обсяг і енергія системи постійні, то будь-яка зміна в системі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>збільшує ентропію.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Які заборони накладають перший і другий закони термодинаміки?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Машини, що забороняються першим законом термодинаміки [6]: </w:t>
      </w:r>
    </w:p>
    <w:p w:rsidR="00A975FB" w:rsidRPr="00A975FB" w:rsidRDefault="00A975FB" w:rsidP="00A975F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вічний двигун першого роду, що здійснює роботу без споживання енергії ззовні; </w:t>
      </w:r>
    </w:p>
    <w:p w:rsidR="00A975FB" w:rsidRPr="00A975FB" w:rsidRDefault="00A975FB" w:rsidP="00A975F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теплова машина з коефіцієнтом корисної дії η&gt; 1.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Процеси, що не суперечать першому закону термодинаміки, але забороняються другим законом: </w:t>
      </w:r>
    </w:p>
    <w:p w:rsidR="00A975FB" w:rsidRPr="00A975FB" w:rsidRDefault="00A975FB" w:rsidP="00A975F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вічний двигун другого роду;</w:t>
      </w:r>
    </w:p>
    <w:p w:rsidR="00A975FB" w:rsidRPr="00A975FB" w:rsidRDefault="00A975FB" w:rsidP="00A975F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довільний перехід тепла від холодного тіла до більш теплого (ідеальна холодильна машина).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Математичне вираження другого закону: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spacing w:line="360" w:lineRule="auto"/>
        <w:ind w:left="4956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object w:dxaOrig="900" w:dyaOrig="620">
          <v:shape id="_x0000_i1026" type="#_x0000_t75" style="width:45pt;height:31.2pt" o:ole="">
            <v:imagedata r:id="rId7" o:title=""/>
          </v:shape>
          <o:OLEObject Type="Embed" ProgID="Equation.3" ShapeID="_x0000_i1026" DrawAspect="Content" ObjectID="_1688451116" r:id="rId8"/>
        </w:object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fldChar w:fldCharType="begin"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instrText xml:space="preserve"> QUOTE </w:instrText>
      </w:r>
      <m:oMath>
        <m:nary>
          <m:naryPr>
            <m:chr m:val="∮"/>
            <m:limLoc m:val="subSup"/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  <w:lang w:eastAsia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 w:cs="Times New Roman"/>
                    <w:bCs/>
                    <w:i/>
                    <w:sz w:val="28"/>
                    <w:szCs w:val="28"/>
                    <w:lang w:eastAsia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eastAsia="uk-UA"/>
                  </w:rPr>
                  <m:t>dQ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eastAsia="uk-UA"/>
                  </w:rPr>
                  <m:t>T</m:t>
                </m:r>
              </m:den>
            </m:f>
            <m:r>
              <w:rPr>
                <w:rFonts w:ascii="Cambria Math" w:hAnsi="Times New Roman" w:cs="Times New Roman"/>
                <w:sz w:val="28"/>
                <w:szCs w:val="28"/>
                <w:lang w:eastAsia="uk-UA"/>
              </w:rPr>
              <m:t>≤</m:t>
            </m:r>
            <m:r>
              <w:rPr>
                <w:rFonts w:ascii="Cambria Math" w:hAnsi="Times New Roman" w:cs="Times New Roman"/>
                <w:sz w:val="28"/>
                <w:szCs w:val="28"/>
                <w:lang w:eastAsia="uk-UA"/>
              </w:rPr>
              <m:t>0</m:t>
            </m:r>
          </m:e>
        </m:nary>
      </m:oMath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instrText xml:space="preserve"> </w:instrText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fldChar w:fldCharType="separate"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fldChar w:fldCharType="end"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tab/>
        <w:t>(1.98)</w:t>
      </w:r>
    </w:p>
    <w:p w:rsidR="00A975FB" w:rsidRPr="00A975FB" w:rsidRDefault="00A975FB" w:rsidP="00A975FB">
      <w:pPr>
        <w:widowControl w:val="0"/>
        <w:spacing w:line="360" w:lineRule="auto"/>
        <w:ind w:left="4956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Cs/>
          <w:position w:val="-24"/>
          <w:sz w:val="28"/>
          <w:szCs w:val="28"/>
          <w:lang w:val="uk-UA" w:eastAsia="uk-UA"/>
        </w:rPr>
        <w:object w:dxaOrig="920" w:dyaOrig="620">
          <v:shape id="_x0000_i1027" type="#_x0000_t75" style="width:46.2pt;height:31.2pt" o:ole="">
            <v:imagedata r:id="rId9" o:title=""/>
          </v:shape>
          <o:OLEObject Type="Embed" ProgID="Equation.3" ShapeID="_x0000_i1027" DrawAspect="Content" ObjectID="_1688451117" r:id="rId10"/>
        </w:object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fldChar w:fldCharType="begin"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instrText xml:space="preserve"> QUOTE </w:instrText>
      </w:r>
      <m:oMath>
        <m:r>
          <w:rPr>
            <w:rFonts w:ascii="Cambria Math" w:hAnsi="Cambria Math" w:cs="Times New Roman"/>
            <w:sz w:val="28"/>
            <w:szCs w:val="28"/>
            <w:lang w:val="en-US" w:eastAsia="uk-UA"/>
          </w:rPr>
          <m:t>dS</m:t>
        </m:r>
        <m:r>
          <w:rPr>
            <w:rFonts w:ascii="Cambria Math" w:hAnsi="Times New Roman" w:cs="Times New Roman"/>
            <w:sz w:val="28"/>
            <w:szCs w:val="28"/>
            <w:lang w:eastAsia="uk-UA"/>
          </w:rPr>
          <m:t>≥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  <w:lang w:val="en-US" w:eastAsia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 w:eastAsia="uk-UA"/>
              </w:rPr>
              <m:t>dQ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 w:eastAsia="uk-UA"/>
              </w:rPr>
              <m:t>T</m:t>
            </m:r>
          </m:den>
        </m:f>
      </m:oMath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instrText xml:space="preserve"> </w:instrText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fldChar w:fldCharType="separate"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fldChar w:fldCharType="end"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bCs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(1.99)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t>1.1.14 Цикли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Одноразовий акт перетворення теплоти в роботу не представляє інтересу для техніки. Реально існуючі теплові двигуни (парові машини, двигуни внутрішнього згоряння тощо) працюють циклічно. Процес теплопередачі і перетворення отриманої кількості теплоти в роботу періодично повторюється. Для цього робоче тіло повинне здійснювати круговий процес або термодинамічний цикл, при якому періодично відновлюється початковий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стан. Кругові процеси зображуються на діаграмі (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pv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Ts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)) газоподібного робочого тіла за допомогою замкнутих кривих (рис. 1.7). При розширенні газ здійснює позитивну роботу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l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рівну площі під кривою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abc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при стисненні газ здійснює негативну роботу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l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рівну по модулю площі під кривою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cda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3.95pt;margin-top:191.3pt;width:108pt;height:27pt;z-index:251663360" filled="f" stroked="f">
            <v:textbox>
              <w:txbxContent>
                <w:p w:rsidR="00A975FB" w:rsidRPr="000E2D2B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0E2D2B">
                    <w:rPr>
                      <w:sz w:val="24"/>
                      <w:szCs w:val="24"/>
                      <w:lang w:val="uk-UA"/>
                    </w:rPr>
                    <w:t>Об’єм газу , м</w:t>
                  </w:r>
                  <w:r w:rsidRPr="000E2D2B">
                    <w:rPr>
                      <w:sz w:val="24"/>
                      <w:szCs w:val="24"/>
                      <w:vertAlign w:val="superscript"/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28" type="#_x0000_t202" style="position:absolute;left:0;text-align:left;margin-left:100.65pt;margin-top:.3pt;width:36pt;height:86.3pt;z-index:251662336" filled="f" stroked="f">
            <v:textbox style="layout-flow:vertical;mso-layout-flow-alt:bottom-to-top">
              <w:txbxContent>
                <w:p w:rsidR="00A975FB" w:rsidRPr="000E2D2B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0E2D2B">
                    <w:rPr>
                      <w:sz w:val="24"/>
                      <w:szCs w:val="24"/>
                      <w:lang w:val="uk-UA"/>
                    </w:rPr>
                    <w:t>Тиск газу, Па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24460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Рисунок 1.7 – Термодинамічний цикл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Повна робота за цикл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l = l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l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-діаграмі дорівнює площі циклу. Робота позитивна, якщо цикл обходиться за годинниковою стрілкою, і негативна, якщо цикл обходиться в протилежному напрямку.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Цикл, в результаті якого виходить позитивна робота, називається 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прямим циклом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або 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циклом теплового двигуна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. Цикл, в якому витрачається робота - зворотний. За таким циклам працюють холодильні установки.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Позначимо підведену до циклу теплоту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відведену –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Теплота, перетворена на роботу визначиться як їх різниця: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–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 xml:space="preserve"> 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Відношення кількості теплоти, перетвореної на роботу за один цикл, до всієї підведеної теплоти, називається термічним коефіцієнтом корисної дії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object w:dxaOrig="2460" w:dyaOrig="680">
          <v:shape id="_x0000_i1028" type="#_x0000_t75" style="width:123pt;height:34.2pt" o:ole="">
            <v:imagedata r:id="rId12" o:title=""/>
          </v:shape>
          <o:OLEObject Type="Embed" ProgID="Equation.3" ShapeID="_x0000_i1028" DrawAspect="Content" ObjectID="_1688451118" r:id="rId13"/>
        </w:objec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begin"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instrText xml:space="preserve"> QUOTE </w:instrTex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  <w:lang w:eastAsia="uk-UA"/>
              </w:rPr>
              <m:t xml:space="preserve">   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  <w:lang w:eastAsia="uk-UA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 w:eastAsia="uk-UA"/>
              </w:rPr>
              <m:t>t</m:t>
            </m:r>
          </m:sub>
        </m:sSub>
        <m:r>
          <w:rPr>
            <w:rFonts w:ascii="Cambria Math" w:hAnsi="Times New Roman" w:cs="Times New Roman"/>
            <w:sz w:val="28"/>
            <w:szCs w:val="28"/>
            <w:lang w:eastAsia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uk-UA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uk-UA"/>
                  </w:rPr>
                  <m:t>q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eastAsia="uk-UA"/>
                  </w:rPr>
                  <m:t>1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uk-UA"/>
                  </w:rPr>
                  <m:t>q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eastAsia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uk-UA"/>
                  </w:rPr>
                  <m:t>q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eastAsia="uk-UA"/>
                  </w:rPr>
                  <m:t>1</m:t>
                </m:r>
              </m:sub>
            </m:sSub>
          </m:den>
        </m:f>
      </m:oMath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instrText xml:space="preserve"> </w:instrTex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separate"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end"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begin"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instrText xml:space="preserve"> QUOTE </w:instrText>
      </w:r>
      <m:oMath>
        <m:r>
          <w:rPr>
            <w:rFonts w:ascii="Cambria Math" w:hAnsi="Times New Roman" w:cs="Times New Roman"/>
            <w:sz w:val="28"/>
            <w:szCs w:val="28"/>
            <w:lang w:eastAsia="uk-UA"/>
          </w:rPr>
          <m:t>1</m:t>
        </m:r>
        <m:r>
          <w:rPr>
            <w:rFonts w:ascii="Cambria Math" w:hAnsi="Times New Roman" w:cs="Times New Roman"/>
            <w:sz w:val="28"/>
            <w:szCs w:val="28"/>
            <w:lang w:eastAsia="uk-UA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 w:eastAsia="uk-UA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uk-UA"/>
                  </w:rPr>
                  <m:t>q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eastAsia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uk-UA"/>
                  </w:rPr>
                  <m:t>q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eastAsia="uk-UA"/>
                  </w:rPr>
                  <m:t>1</m:t>
                </m:r>
              </m:sub>
            </m:sSub>
          </m:den>
        </m:f>
        <m:r>
          <w:rPr>
            <w:rFonts w:ascii="Cambria Math" w:hAnsi="Times New Roman" w:cs="Times New Roman"/>
            <w:sz w:val="28"/>
            <w:szCs w:val="28"/>
            <w:lang w:eastAsia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 w:eastAsia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 w:eastAsia="uk-UA"/>
              </w:rPr>
              <m:t>l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uk-UA"/>
                  </w:rPr>
                  <m:t>q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eastAsia="uk-UA"/>
                  </w:rPr>
                  <m:t>1</m:t>
                </m:r>
              </m:sub>
            </m:sSub>
          </m:den>
        </m:f>
      </m:oMath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instrText xml:space="preserve"> </w:instrTex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separate"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end"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(1.100)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Круговий процес на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pv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-діаграмі.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abc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- крива розширення,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cda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- крива стиснення. Робота круговому процесі дорівнює площі фігури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abcd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 xml:space="preserve">Цикл </w:t>
      </w:r>
      <w:proofErr w:type="spellStart"/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>.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Розглянемо найбільш простий цикл -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Це оборотний круговий процес, в якому відбувається перетворення теплоти в роботу (або роботи в теплоту).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складається з двох ізотермічних і двох адіабатних процесів, що послідовно чергуються. Вперше цей цикл розглянуто французьким ученим Н. Л. С.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(1824) як ідеальний робочий цикл теплового двигуна. Перетворення теплоти в роботу супроводжується перенесенням робочим тілом двигуна певної кількості теплоти від більш нагрітого тіла (нагрівача) до менш нагрітого (холодильнику)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здійснюється наступним чином: робоче тіло (наприклад, пара в циліндрі під поршнем) при температурі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наводиться в зіткнення з нагрівачем, що має постійну температуру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і ізотермічно отримує від нього кількість теплоти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δQ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(при цьому пар розширюється і здійснює роботу). На рис. 1.8 цей процес зображений відрізком ізотерми 1-2.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27" type="#_x0000_t202" style="position:absolute;left:0;text-align:left;margin-left:301.35pt;margin-top:196.25pt;width:108pt;height:27pt;z-index:251661312" filled="f" stroked="f">
            <v:textbox>
              <w:txbxContent>
                <w:p w:rsidR="00A975FB" w:rsidRPr="000E2D2B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0E2D2B">
                    <w:rPr>
                      <w:sz w:val="24"/>
                      <w:szCs w:val="24"/>
                      <w:lang w:val="uk-UA"/>
                    </w:rPr>
                    <w:t>Об’єм газу , м</w:t>
                  </w:r>
                  <w:r w:rsidRPr="000E2D2B">
                    <w:rPr>
                      <w:sz w:val="24"/>
                      <w:szCs w:val="24"/>
                      <w:vertAlign w:val="superscript"/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26" type="#_x0000_t202" style="position:absolute;left:0;text-align:left;margin-left:98.35pt;margin-top:7.2pt;width:36pt;height:99pt;z-index:251660288" filled="f" stroked="f">
            <v:textbox style="layout-flow:vertical;mso-layout-flow-alt:bottom-to-top">
              <w:txbxContent>
                <w:p w:rsidR="00A975FB" w:rsidRPr="000E2D2B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0E2D2B">
                    <w:rPr>
                      <w:sz w:val="24"/>
                      <w:szCs w:val="24"/>
                      <w:lang w:val="uk-UA"/>
                    </w:rPr>
                    <w:t>Тиск газу, Па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6212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Рисунок 1.8 –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-діаграмі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Потім робоче тіло, розширюючись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адіабатично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(по адіабаті 2-3), охолоджується до температури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При цій температурі, стискаючись ізотермічно (відрізок 3-4), робоче тіло віддає кількість теплоти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δQ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холодильнику з температурою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Завершується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адіабатним процесом 4-1, що повертає робоче тіло у вихідний термодинамічний стан. При постійній різниці температур (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-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) між нагрівачем і холодильником робоче тіло здійснює за один цикл роботу: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3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object w:dxaOrig="2900" w:dyaOrig="680">
          <v:shape id="_x0000_i1029" type="#_x0000_t75" style="width:159pt;height:37.8pt" o:ole="">
            <v:imagedata r:id="rId15" o:title=""/>
          </v:shape>
          <o:OLEObject Type="Embed" ProgID="Equation.3" ShapeID="_x0000_i1029" DrawAspect="Content" ObjectID="_1688451119" r:id="rId16"/>
        </w:objec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  <w:t>(1.101)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Звідси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циклу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424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position w:val="-30"/>
          <w:sz w:val="28"/>
          <w:szCs w:val="28"/>
          <w:lang w:val="uk-UA"/>
        </w:rPr>
        <w:object w:dxaOrig="1080" w:dyaOrig="680">
          <v:shape id="_x0000_i1030" type="#_x0000_t75" style="width:54.6pt;height:34.2pt" o:ole="">
            <v:imagedata r:id="rId17" o:title=""/>
          </v:shape>
          <o:OLEObject Type="Embed" ProgID="Equation.3" ShapeID="_x0000_i1030" DrawAspect="Content" ObjectID="_1688451120" r:id="rId18"/>
        </w:objec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  <w:t>(1.102)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Робота циклу чисельно дорівнює площі 1-2-3-4 (рис. 1.8), обмеженою відрізками ізотерм і адіабат, що утворюють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у 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ТS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 координатах зображено на рисунку 1.9.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pict>
          <v:shape id="_x0000_s1030" type="#_x0000_t202" style="position:absolute;left:0;text-align:left;margin-left:171.65pt;margin-top:10.25pt;width:27pt;height:118.9pt;z-index:251664384" filled="f" stroked="f">
            <v:textbox style="layout-flow:vertical;mso-layout-flow-alt:bottom-to-top">
              <w:txbxContent>
                <w:p w:rsidR="00A975FB" w:rsidRPr="00A04F3D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A04F3D">
                    <w:rPr>
                      <w:sz w:val="24"/>
                      <w:szCs w:val="24"/>
                      <w:lang w:val="uk-UA"/>
                    </w:rPr>
                    <w:t>Температура газу, К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1" type="#_x0000_t202" style="position:absolute;left:0;text-align:left;margin-left:3in;margin-top:118.4pt;width:153pt;height:25.1pt;z-index:251665408" filled="f" stroked="f">
            <v:textbox>
              <w:txbxContent>
                <w:p w:rsidR="00A975FB" w:rsidRPr="00A04F3D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A04F3D">
                    <w:rPr>
                      <w:sz w:val="24"/>
                      <w:szCs w:val="24"/>
                      <w:lang w:val="uk-UA"/>
                    </w:rPr>
                    <w:t>Ентропія газу , кДж/кг К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880" cy="160020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Рисунок  1.9 –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-діаграмі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є зверненим, і його можна здійснити в зворотній послідовності (у напрямі 1-4-3-2). При цьому кількість теплоти 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δQ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відбирається у холодильника і разом з витраченої роботою 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δl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(перетвореною на теплоту) передається нагрівачу. Тепловий двигун працює в цьому режимі як ідеальна холодильна машина.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має найвищий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. серед усіх можливих циклів, здійснюваних в одному і тому ж температурному інтервалі (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T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 xml:space="preserve"> - T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). У цьому сенсі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циклу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служить мірою ефективності інших робочих циклів.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Розглянемо роботу теплової машини за циклом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(рис. 1.10)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:</w:t>
      </w:r>
    </w:p>
    <w:p w:rsidR="00A975FB" w:rsidRPr="00A975FB" w:rsidRDefault="00A975FB" w:rsidP="00A975F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Від нагрівача Н надходить теплота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δQ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газ під поршнем ізотермічно розширюється.   </w:t>
      </w:r>
    </w:p>
    <w:p w:rsidR="00A975FB" w:rsidRPr="00A975FB" w:rsidRDefault="00A975FB" w:rsidP="00A975F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Газ ізольований від нагрівача і холодильника 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адіабатично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розширюється. </w:t>
      </w:r>
    </w:p>
    <w:p w:rsidR="00A975FB" w:rsidRPr="00A975FB" w:rsidRDefault="00A975FB" w:rsidP="00A975F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Газ ізотермічно (при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=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) стискається і віддає теплоту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δQ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холодильнику X. </w:t>
      </w:r>
    </w:p>
    <w:p w:rsidR="00A975FB" w:rsidRPr="00A975FB" w:rsidRDefault="00A975FB" w:rsidP="00A975F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Газ ізольований 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адіабатично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стискається.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600" cy="1965960"/>
            <wp:effectExtent l="19050" t="0" r="0" b="0"/>
            <wp:docPr id="16" name="Рисунок 16" descr="image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Рисунок 1.10 - Схема роботи ідеальної теплової машини, що працює за циклом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Карно</w:t>
      </w:r>
      <w:proofErr w:type="spellEnd"/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4" type="#_x0000_t202" style="position:absolute;left:0;text-align:left;margin-left:282.65pt;margin-top:214.05pt;width:36pt;height:126pt;z-index:251668480" filled="f" stroked="f">
            <v:textbox style="layout-flow:vertical;mso-layout-flow-alt:bottom-to-top">
              <w:txbxContent>
                <w:p w:rsidR="00A975FB" w:rsidRPr="00C02938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C02938">
                    <w:rPr>
                      <w:sz w:val="24"/>
                      <w:szCs w:val="24"/>
                      <w:lang w:val="uk-UA"/>
                    </w:rPr>
                    <w:t>Температура газу, К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>Цикли двигунів внутрішнього згоряння (</w:t>
      </w:r>
      <w:proofErr w:type="spellStart"/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>д.в.з</w:t>
      </w:r>
      <w:proofErr w:type="spellEnd"/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 xml:space="preserve">.).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Розглянемо 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 xml:space="preserve">ідеальний цикл </w:t>
      </w:r>
      <w:proofErr w:type="spellStart"/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д.в.з</w:t>
      </w:r>
      <w:proofErr w:type="spellEnd"/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. з ізохорним підводом теплоти і примусовим запалюванням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</w:t>
      </w:r>
      <w:r w:rsidRPr="00A975FB"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  <w:t>цикл Отто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). Відмінною особливістю таких двигунів є стиснення горючої суміші (суміші парів бензину з повітрям). Цей цикл складається з двох адіабат і двох ізохор (рис.1.11).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Цикл здійснюється таким чином. Ідеальний газ з початковими параметрами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стискується по адіабаті 1-2 до точки 2. По ізохорі 2-3 робочому тілу надається кількість теплоти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Далі робоче тіло розширюється по адіабаті 3-4. І, нарешті, по ізохорі 4-1 робоче тіло повертається у первісний стан, при цьому відводиться теплота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2" type="#_x0000_t202" style="position:absolute;left:0;text-align:left;margin-left:1in;margin-top:-.45pt;width:36pt;height:99pt;z-index:251666432" filled="f" stroked="f">
            <v:textbox style="layout-flow:vertical;mso-layout-flow-alt:bottom-to-top">
              <w:txbxContent>
                <w:p w:rsidR="00A975FB" w:rsidRPr="00C02938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C02938">
                    <w:rPr>
                      <w:sz w:val="24"/>
                      <w:szCs w:val="24"/>
                      <w:lang w:val="uk-UA"/>
                    </w:rPr>
                    <w:t>Тиск газу, Па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5" type="#_x0000_t202" style="position:absolute;left:0;text-align:left;margin-left:333pt;margin-top:116.55pt;width:2in;height:27pt;z-index:251669504" filled="f" stroked="f">
            <v:textbox>
              <w:txbxContent>
                <w:p w:rsidR="00A975FB" w:rsidRPr="00A04F3D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A04F3D">
                    <w:rPr>
                      <w:sz w:val="24"/>
                      <w:szCs w:val="24"/>
                      <w:lang w:val="uk-UA"/>
                    </w:rPr>
                    <w:t>Ентропія газу , кДж/кг К</w:t>
                  </w:r>
                </w:p>
                <w:p w:rsidR="00A975FB" w:rsidRPr="00C02938" w:rsidRDefault="00A975FB" w:rsidP="00A975F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3" type="#_x0000_t202" style="position:absolute;left:0;text-align:left;margin-left:135pt;margin-top:116.55pt;width:108pt;height:27pt;z-index:251667456" filled="f" stroked="f">
            <v:textbox>
              <w:txbxContent>
                <w:p w:rsidR="00A975FB" w:rsidRPr="00644219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644219">
                    <w:rPr>
                      <w:sz w:val="24"/>
                      <w:szCs w:val="24"/>
                      <w:lang w:val="uk-UA"/>
                    </w:rPr>
                    <w:t>Об’єм газу , м</w:t>
                  </w:r>
                  <w:r w:rsidRPr="00644219">
                    <w:rPr>
                      <w:sz w:val="24"/>
                      <w:szCs w:val="24"/>
                      <w:vertAlign w:val="superscript"/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7860" cy="14859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2560" cy="15011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 xml:space="preserve">                                   а)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  <w:t>б)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— в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-координатах;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б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— в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-координатах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Рисунок 1.11 – Цикл з ізохорним підводом теплоти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Характеристиками циклу є: </w:t>
      </w:r>
      <w:r w:rsidRPr="00A975FB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ступінь стиснення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ε =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ступінь підвищення тиску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λ =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Визначимо термічний к. к. д. циклу, вважаючи, що теплоємність і показник адіабати постійні 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Кількість підведеної теплоти:</w:t>
      </w:r>
    </w:p>
    <w:p w:rsidR="00A975FB" w:rsidRPr="00A975FB" w:rsidRDefault="00A975FB" w:rsidP="00A975FB">
      <w:pPr>
        <w:widowControl w:val="0"/>
        <w:spacing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q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1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= </w:t>
      </w:r>
      <w:proofErr w:type="spellStart"/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C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v</w:t>
      </w:r>
      <w:proofErr w:type="spellEnd"/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(T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3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T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  <w:t xml:space="preserve"> (1.103)</w:t>
      </w:r>
    </w:p>
    <w:p w:rsidR="00A975FB" w:rsidRPr="00A975FB" w:rsidRDefault="00A975FB" w:rsidP="00A975FB">
      <w:pPr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Кількість відведеної теплоти:</w:t>
      </w:r>
    </w:p>
    <w:p w:rsidR="00A975FB" w:rsidRPr="00A975FB" w:rsidRDefault="00A975FB" w:rsidP="00A975FB">
      <w:pPr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spacing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q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2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= </w:t>
      </w:r>
      <w:proofErr w:type="spellStart"/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C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v</w:t>
      </w:r>
      <w:proofErr w:type="spellEnd"/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(T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4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T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b>
        </m:sSub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4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d>
      </m:oMath>
      <w:r w:rsidRPr="00A975FB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(1.104)</w:t>
      </w:r>
    </w:p>
    <w:p w:rsidR="00A975FB" w:rsidRPr="00A975FB" w:rsidRDefault="00A975FB" w:rsidP="00A975FB">
      <w:pPr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Підставимо ці вирази у формулу (1.100):</w:t>
      </w:r>
    </w:p>
    <w:p w:rsidR="00A975FB" w:rsidRPr="00A975FB" w:rsidRDefault="00A975FB" w:rsidP="00A975FB">
      <w:pPr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spacing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                            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A975FB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object w:dxaOrig="1520" w:dyaOrig="680">
          <v:shape id="_x0000_i1031" type="#_x0000_t75" style="width:76.8pt;height:34.2pt" o:ole="">
            <v:imagedata r:id="rId23" o:title=""/>
          </v:shape>
          <o:OLEObject Type="Embed" ProgID="Equation.3" ShapeID="_x0000_i1031" DrawAspect="Content" ObjectID="_1688451121" r:id="rId24"/>
        </w:objec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(1.105)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Температури у рівнянні (1.105) виразимо через початкову температуру робочого тіла, використовуючи залежності для адіабатного та ізохорного процесів: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141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object w:dxaOrig="1980" w:dyaOrig="800">
          <v:shape id="_x0000_i1032" type="#_x0000_t75" style="width:105.6pt;height:42.6pt" o:ole="">
            <v:imagedata r:id="rId25" o:title=""/>
          </v:shape>
          <o:OLEObject Type="Embed" ProgID="Equation.3" ShapeID="_x0000_i1032" DrawAspect="Content" ObjectID="_1688451122" r:id="rId26"/>
        </w:objec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  <w:t xml:space="preserve"> </w:t>
      </w: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object w:dxaOrig="1180" w:dyaOrig="360">
          <v:shape id="_x0000_i1033" type="#_x0000_t75" style="width:60pt;height:18pt" o:ole="">
            <v:imagedata r:id="rId27" o:title=""/>
          </v:shape>
          <o:OLEObject Type="Embed" ProgID="Equation.3" ShapeID="_x0000_i1033" DrawAspect="Content" ObjectID="_1688451123" r:id="rId28"/>
        </w:objec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(1.106)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1418" w:firstLine="70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position w:val="-30"/>
          <w:sz w:val="28"/>
          <w:szCs w:val="28"/>
          <w:lang w:val="uk-UA"/>
        </w:rPr>
        <w:object w:dxaOrig="1320" w:dyaOrig="680">
          <v:shape id="_x0000_i1034" type="#_x0000_t75" style="width:67.2pt;height:34.2pt" o:ole="">
            <v:imagedata r:id="rId29" o:title=""/>
          </v:shape>
          <o:OLEObject Type="Embed" ProgID="Equation.3" ShapeID="_x0000_i1034" DrawAspect="Content" ObjectID="_1688451124" r:id="rId30"/>
        </w:objec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object w:dxaOrig="1860" w:dyaOrig="380">
          <v:shape id="_x0000_i1035" type="#_x0000_t75" style="width:93pt;height:19.2pt" o:ole="">
            <v:imagedata r:id="rId31" o:title=""/>
          </v:shape>
          <o:OLEObject Type="Embed" ProgID="Equation.3" ShapeID="_x0000_i1035" DrawAspect="Content" ObjectID="_1688451125" r:id="rId32"/>
        </w:objec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(1.107)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851" w:firstLine="70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object w:dxaOrig="3000" w:dyaOrig="800">
          <v:shape id="_x0000_i1036" type="#_x0000_t75" style="width:152.4pt;height:40.8pt" o:ole="">
            <v:imagedata r:id="rId33" o:title=""/>
          </v:shape>
          <o:OLEObject Type="Embed" ProgID="Equation.3" ShapeID="_x0000_i1036" DrawAspect="Content" ObjectID="_1688451126" r:id="rId34"/>
        </w:objec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object w:dxaOrig="2280" w:dyaOrig="620">
          <v:shape id="_x0000_i1037" type="#_x0000_t75" style="width:114pt;height:31.2pt" o:ole="">
            <v:imagedata r:id="rId35" o:title=""/>
          </v:shape>
          <o:OLEObject Type="Embed" ProgID="Equation.3" ShapeID="_x0000_i1037" DrawAspect="Content" ObjectID="_1688451127" r:id="rId36"/>
        </w:objec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  <w:t>(1.108)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Підставляємо знайдені значення температур у рівняння (1.105):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424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object w:dxaOrig="1219" w:dyaOrig="620">
          <v:shape id="_x0000_i1038" type="#_x0000_t75" style="width:61.8pt;height:31.2pt" o:ole="">
            <v:imagedata r:id="rId37" o:title=""/>
          </v:shape>
          <o:OLEObject Type="Embed" ProgID="Equation.3" ShapeID="_x0000_i1038" DrawAspect="Content" ObjectID="_1688451128" r:id="rId38"/>
        </w:objec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  <w:t>(1.109)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Термічний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циклу з підводом тепла при постійному об’ємі росте із збільшенням ступеню стиснення і показника адіабати.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У двигунах, що працюють за даним циклом стисненню піддається суміш палива з повітрям, що спалахує від електричної іскри у кінці стиснення. За цим циклом працюють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д.в.з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на легких та газоподібних паливах. Збільшення ступеню стиснення обмежується можливістю  передчасного самозапалення суміші. Крім того, при високих значеннях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ε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швидкість згоряння різко зростає,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lastRenderedPageBreak/>
        <w:t xml:space="preserve">що може визвати детонацію. В залежності від палива у таких двигунах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ε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= 4…9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Більші значення ступеню стиснення застосовувати не можна, тому ці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д.в.з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мають відносно низькі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Цикл з підведенням тепла при постійному тиску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</w:t>
      </w:r>
      <w:r w:rsidRPr="00A975FB"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  <w:t>цикл Дизеля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) складається з двох адіабат, ізобари і ізохори (рис. 1.12). Він є зразком для двигунів важкого палива, які називаються компресорними дизелями і в яких пальне розпорошується повітрям, що подається в циліндр спеціальним компресором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5" type="#_x0000_t202" style="position:absolute;left:0;text-align:left;margin-left:275.3pt;margin-top:2.4pt;width:36pt;height:126pt;z-index:251679744" filled="f" stroked="f">
            <v:textbox style="layout-flow:vertical;mso-layout-flow-alt:bottom-to-top">
              <w:txbxContent>
                <w:p w:rsidR="00A975FB" w:rsidRPr="00C02938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C02938">
                    <w:rPr>
                      <w:sz w:val="24"/>
                      <w:szCs w:val="24"/>
                      <w:lang w:val="uk-UA"/>
                    </w:rPr>
                    <w:t>Температ</w:t>
                  </w:r>
                  <w:r w:rsidRPr="00DE4791">
                    <w:rPr>
                      <w:color w:val="FF0000"/>
                      <w:sz w:val="24"/>
                      <w:szCs w:val="24"/>
                      <w:lang w:val="uk-UA"/>
                    </w:rPr>
                    <w:t>у</w:t>
                  </w:r>
                  <w:r w:rsidRPr="00C02938">
                    <w:rPr>
                      <w:sz w:val="24"/>
                      <w:szCs w:val="24"/>
                      <w:lang w:val="uk-UA"/>
                    </w:rPr>
                    <w:t>ра газу, К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6" type="#_x0000_t202" style="position:absolute;left:0;text-align:left;margin-left:324pt;margin-top:128.4pt;width:2in;height:27pt;z-index:251680768" filled="f" stroked="f">
            <v:textbox>
              <w:txbxContent>
                <w:p w:rsidR="00A975FB" w:rsidRPr="00C02938" w:rsidRDefault="00A975FB" w:rsidP="00A975FB">
                  <w:pPr>
                    <w:rPr>
                      <w:szCs w:val="24"/>
                    </w:rPr>
                  </w:pPr>
                  <w:r w:rsidRPr="00A04F3D">
                    <w:rPr>
                      <w:sz w:val="24"/>
                      <w:szCs w:val="24"/>
                      <w:lang w:val="uk-UA"/>
                    </w:rPr>
                    <w:t>Ентропія газу , кДж/кг К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pict>
          <v:shape id="_x0000_s1037" type="#_x0000_t202" style="position:absolute;left:0;text-align:left;margin-left:108pt;margin-top:129.4pt;width:108pt;height:27pt;z-index:251671552" filled="f" stroked="f">
            <v:textbox>
              <w:txbxContent>
                <w:p w:rsidR="00A975FB" w:rsidRPr="00644219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644219">
                    <w:rPr>
                      <w:sz w:val="24"/>
                      <w:szCs w:val="24"/>
                      <w:lang w:val="uk-UA"/>
                    </w:rPr>
                    <w:t>Об’єм газу , м</w:t>
                  </w:r>
                  <w:r w:rsidRPr="00644219">
                    <w:rPr>
                      <w:sz w:val="24"/>
                      <w:szCs w:val="24"/>
                      <w:vertAlign w:val="superscript"/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pict>
          <v:shape id="_x0000_s1036" type="#_x0000_t202" style="position:absolute;left:0;text-align:left;margin-left:54pt;margin-top:18.5pt;width:36pt;height:99pt;z-index:251670528" filled="f" stroked="f">
            <v:textbox style="layout-flow:vertical;mso-layout-flow-alt:bottom-to-top">
              <w:txbxContent>
                <w:p w:rsidR="00A975FB" w:rsidRPr="004046B2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4046B2">
                    <w:rPr>
                      <w:sz w:val="24"/>
                      <w:szCs w:val="24"/>
                      <w:lang w:val="uk-UA"/>
                    </w:rPr>
                    <w:t>Тиск газу, Па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5420" cy="158496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169926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а)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  <w:t>б)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— в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-координатах;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б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— в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-координатах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Рисунок 1.12 – Цикл Дизеля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Цикл здійснюється таким чином. Газоподібне робоче тіло з початковими параметрами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p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стискується по адіабаті 1-2. Потім тілу по ізобарі 2-3 підводиться деяка кількість теплоти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Далі робоче тіло розширюється по адіабаті 3-4. І, нарешті, по ізохорі 4-1 робоче тіло повертається у первісний стан, при цьому відводиться теплота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lastRenderedPageBreak/>
        <w:t xml:space="preserve">Характеристиками циклу є: </w:t>
      </w:r>
      <w:r w:rsidRPr="00A975FB">
        <w:rPr>
          <w:rFonts w:ascii="Times New Roman" w:hAnsi="Times New Roman" w:cs="Times New Roman"/>
          <w:b/>
          <w:i/>
          <w:sz w:val="28"/>
          <w:szCs w:val="28"/>
          <w:highlight w:val="white"/>
          <w:lang w:val="uk-UA"/>
        </w:rPr>
        <w:t>ступінь стиснення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ε=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/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і </w:t>
      </w:r>
      <w:r w:rsidRPr="00A975FB">
        <w:rPr>
          <w:rFonts w:ascii="Times New Roman" w:hAnsi="Times New Roman" w:cs="Times New Roman"/>
          <w:b/>
          <w:i/>
          <w:sz w:val="28"/>
          <w:szCs w:val="28"/>
          <w:highlight w:val="white"/>
          <w:lang w:val="uk-UA"/>
        </w:rPr>
        <w:t>ступінь попереднього розширення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ρ= v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/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По аналогії з попереднім циклом, можна вивести рівняння для термічного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. циклу Дизеля: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object w:dxaOrig="1939" w:dyaOrig="700">
          <v:shape id="_x0000_i1039" type="#_x0000_t75" style="width:98.4pt;height:35.4pt" o:ole="">
            <v:imagedata r:id="rId41" o:title=""/>
          </v:shape>
          <o:OLEObject Type="Embed" ProgID="Equation.3" ShapeID="_x0000_i1039" DrawAspect="Content" ObjectID="_1688451129" r:id="rId42"/>
        </w:objec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>,</w: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(1.110)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де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ρ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 - ступінь попереднього розширення;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ε</w:t>
      </w:r>
      <w:r w:rsidRPr="00A975FB">
        <w:rPr>
          <w:rFonts w:ascii="Times New Roman" w:hAnsi="Times New Roman" w:cs="Times New Roman"/>
          <w:b/>
          <w:i/>
          <w:sz w:val="28"/>
          <w:szCs w:val="28"/>
          <w:highlight w:val="white"/>
          <w:lang w:val="uk-UA"/>
        </w:rPr>
        <w:t xml:space="preserve">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- ступінь стиснення;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k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– показник адіабати.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Із ростом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 xml:space="preserve">ε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і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k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термічний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зростає, а з ростом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ρ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– зменшується. Термічний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циклу Дизеля при рівних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більше, ніж у циклу Отто.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i/>
          <w:sz w:val="28"/>
          <w:szCs w:val="28"/>
          <w:highlight w:val="white"/>
          <w:lang w:val="uk-UA"/>
        </w:rPr>
        <w:t xml:space="preserve">Цикл ГТУ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Широке застосування газотурбінних установок (ГТУ) обумовлено можливістю отримання значної потужності в одному агрегаті внаслідок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відсутністі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інерційних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зусіль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 від зворотно-поступальних рухів масивних деталей. ГТУ можуть працювати зі згорянням палива при постійному об’ємі або при постійному тиску. Останні більш перспективні.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Ідеальним циклом газотурбінних установок є цикл з підводом і відводом тепла при постійному тиску - </w:t>
      </w:r>
      <w:r w:rsidRPr="00A975FB"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  <w:t>цикл Брайтона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(цикл Брайтона-Джоуля). Цей цикл складається з двох ізобар і двох адіабат (рис. 1.13).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9840" cy="1828800"/>
            <wp:effectExtent l="19050" t="0" r="3810" b="0"/>
            <wp:docPr id="32" name="Рисунок 32" descr="img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03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5020" cy="1981200"/>
            <wp:effectExtent l="19050" t="0" r="0" b="0"/>
            <wp:docPr id="33" name="Рисунок 33" descr="img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03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1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                       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а)                                                             б)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Рисунок 1.13 – Ідеальний цикл ГТУ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Принципова схема ГТУ, що працює за циклом Брайтона   показана на рис. 1.14.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5620" cy="2567940"/>
            <wp:effectExtent l="19050" t="0" r="0" b="0"/>
            <wp:docPr id="34" name="Рисунок 34" descr="pic7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79_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- компресор; 2 – паливний насос; 3 – камера згоряння; 4 – газова турбіна.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Рисунок 1.14 – Принципова схема газотурбінної установки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lastRenderedPageBreak/>
        <w:t xml:space="preserve">Установка працює таким чином. Компресор стискує атмосферне повітря і подає його до камери згоряння. У цю камеру насос 2 безперервно подає рідке паливо (або газоподібне), що згорає при постійному тиску. Продукти згоряння прямують по трубопроводу до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сопіл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турбіни, відкіля виходять з великою швидкістю і потрапляють на лопатки робочого колеса. Гарячі гази віддають частину своєї енергії, за рахунок якої обертається вал турбіни.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Процес, зображений на рис. 1.13 є ідеалізованим. Не враховані втрати енергії, робочий процес представлений замкнутим. Уявляється, що в ньому бере участь незмінна кількість робочого тіла.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В цьому циклі робоче тіло стискається по адіабаті 1 – 2 (процес у компресорі). Потім здійснюється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підвод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теплоти по ізобарі 2 – 3 (процес у камері згоряння). Далі відбувається розширення робочого тіла по адіабаті 3 – 4 (процес у турбіні). І, нарешті, охолодження робочого тіла по ізобарі 4 – 1 (викид газів до атмосфери). 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Характеристиками циклу є: </w:t>
      </w:r>
      <w:r w:rsidRPr="00A975FB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ступінь стиснення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ε =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975F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ступінь підвищення тиску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λ =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975FB">
        <w:rPr>
          <w:rFonts w:ascii="Times New Roman" w:hAnsi="Times New Roman" w:cs="Times New Roman"/>
          <w:b/>
          <w:i/>
          <w:sz w:val="28"/>
          <w:szCs w:val="28"/>
          <w:highlight w:val="white"/>
          <w:lang w:val="uk-UA"/>
        </w:rPr>
        <w:t>ступінь попереднього розширення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ρ= v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/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Термічний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. циклу можна представити кількома способами: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spacing w:line="360" w:lineRule="auto"/>
        <w:ind w:left="-113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975FB">
        <w:rPr>
          <w:rFonts w:ascii="Times New Roman" w:hAnsi="Times New Roman" w:cs="Times New Roman"/>
          <w:sz w:val="28"/>
          <w:szCs w:val="28"/>
          <w:lang w:eastAsia="uk-UA"/>
        </w:rPr>
        <w:t xml:space="preserve">                                                                       </w:t>
      </w:r>
      <w:r w:rsidRPr="00A975FB">
        <w:rPr>
          <w:rFonts w:ascii="Times New Roman" w:hAnsi="Times New Roman" w:cs="Times New Roman"/>
          <w:b/>
          <w:bCs/>
          <w:position w:val="-24"/>
          <w:sz w:val="28"/>
          <w:szCs w:val="28"/>
          <w:lang w:val="uk-UA"/>
        </w:rPr>
        <w:object w:dxaOrig="1219" w:dyaOrig="620">
          <v:shape id="_x0000_i1040" type="#_x0000_t75" style="width:61.8pt;height:31.2pt" o:ole="">
            <v:imagedata r:id="rId46" o:title=""/>
          </v:shape>
          <o:OLEObject Type="Embed" ProgID="Equation.3" ShapeID="_x0000_i1040" DrawAspect="Content" ObjectID="_1688451130" r:id="rId47"/>
        </w:object>
      </w:r>
      <w:r w:rsidRPr="00A975FB">
        <w:rPr>
          <w:rFonts w:ascii="Times New Roman" w:hAnsi="Times New Roman" w:cs="Times New Roman"/>
          <w:sz w:val="28"/>
          <w:szCs w:val="28"/>
          <w:lang w:eastAsia="uk-UA"/>
        </w:rPr>
        <w:t xml:space="preserve">                                (1.111) </w:t>
      </w:r>
    </w:p>
    <w:p w:rsidR="00A975FB" w:rsidRPr="00A975FB" w:rsidRDefault="00A975FB" w:rsidP="00A975FB">
      <w:pPr>
        <w:spacing w:line="360" w:lineRule="auto"/>
        <w:ind w:left="-113"/>
        <w:jc w:val="both"/>
        <w:rPr>
          <w:rFonts w:ascii="Times New Roman" w:hAnsi="Times New Roman" w:cs="Times New Roman"/>
          <w:sz w:val="28"/>
          <w:szCs w:val="28"/>
        </w:rPr>
      </w:pPr>
      <w:r w:rsidRPr="00A975FB">
        <w:rPr>
          <w:rFonts w:ascii="Times New Roman" w:hAnsi="Times New Roman" w:cs="Times New Roman"/>
          <w:sz w:val="28"/>
          <w:szCs w:val="28"/>
          <w:lang w:eastAsia="uk-UA"/>
        </w:rPr>
        <w:t xml:space="preserve">                                                                    </w:t>
      </w:r>
      <m:oMath>
        <m:sSub>
          <m:sSub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λ</m:t>
                </m:r>
              </m:e>
              <m:sup>
                <m:f>
                  <m:fPr>
                    <m:ctrlPr>
                      <w:rPr>
                        <w:rFonts w:ascii="Cambria Math" w:eastAsia="Calibri" w:hAnsi="Times New Roman" w:cs="Times New Roman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den>
                </m:f>
              </m:sup>
            </m:sSup>
          </m:den>
        </m:f>
      </m:oMath>
      <w:r w:rsidRPr="00A975FB">
        <w:rPr>
          <w:rFonts w:ascii="Times New Roman" w:hAnsi="Times New Roman" w:cs="Times New Roman"/>
          <w:sz w:val="28"/>
          <w:szCs w:val="28"/>
        </w:rPr>
        <w:t xml:space="preserve">                            (1.112)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Якщо температура відпрацьованих газів  </w:t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4</w: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вище, ніж температура повітря на виході з компресору </w:t>
      </w:r>
      <w:r w:rsidRPr="00A975FB">
        <w:rPr>
          <w:rFonts w:ascii="Times New Roman" w:hAnsi="Times New Roman" w:cs="Times New Roman"/>
          <w:i/>
          <w:sz w:val="28"/>
          <w:szCs w:val="28"/>
          <w:lang w:val="uk-UA" w:eastAsia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то частина теплоти, що віддається при охолодженні газів в ізобарному процесі 4 – 1, може бути передана в </w: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регенератор (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>теплообміннік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) для підігріву повітря, що прямує до камери згоряння. Очевидно, що при цьому термічний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підвищується. Схема ГТУ з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>регенерацієй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теплоти надана на рис. 1.15.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4820" cy="4274820"/>
            <wp:effectExtent l="19050" t="0" r="0" b="0"/>
            <wp:docPr id="37" name="Рисунок 1" descr="C:\Users\ПК\Documents\Scanned Documents\Цикл ГТ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К\Documents\Scanned Documents\Цикл ГТУ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4527" t="3951" r="49796" b="6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1- компресор; 2 – паливний насос; 3 – пусковий двигун; 4 – камера згоряння;  5 – регенератор; 6 – газова турбіна.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Рисунок 1.15 – Принципова схема ГТУ з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регенерацієй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теплоти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 xml:space="preserve">Цикл </w:t>
      </w:r>
      <w:proofErr w:type="spellStart"/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>Ренкіна</w:t>
      </w:r>
      <w:proofErr w:type="spellEnd"/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 xml:space="preserve">.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Розглянуті цикли для водяної пари мають деякі недоліки, що роблять недоцільним використання їх у паротурбінних установках.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За основний цикл в паротурбінній установці прийнятий ідеальний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lastRenderedPageBreak/>
        <w:t>Ренкіна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У цьому циклі здійснюється повна конденсація робочого тіла в конденсаторі, внаслідок чого замість громіздкого малоефективного компресора пари для подачі води в котел застосовують живильний водяний насос, який має малий габарит і високий к. к. д. При порівняно невеликої потужності, споживаної насосом, втрати в ньому виявляються малими в порівнянні із загальною потужністю паротурбінної установки. Крім того, в циклі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Ренкіна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можливе застосування перегрітої пари, що дозволяє підвищити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середньоінтегральну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температуру підведення теплоти і тим самим збільшити термічний к. к. д. циклу.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На рис. 1.16 зображений ідеальний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Ренкіна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pv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-діаграмі. Точка 4 характеризує стан киплячої води в котлі при тиску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p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Лінія 4-5 зображує процес пароутворення в котлі. Точка 5 відповідає вологій насиченій пари, тобто суміші пари та туману води. Потім пара підсушується в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перегрівачі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до стану сухої насиченої пари - процес 5-6. 6-1 - процес перегріву пари в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перегрівачі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при тиску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p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Отримана пара по адіабаті 1-2 розширюється в турбіні (або в циліндрі парового двигуна) до тиску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 конденсаторі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0" type="#_x0000_t202" style="position:absolute;left:0;text-align:left;margin-left:238.95pt;margin-top:38.85pt;width:36pt;height:132.2pt;z-index:251674624" filled="f" stroked="f">
            <v:textbox style="layout-flow:vertical;mso-layout-flow-alt:bottom-to-top">
              <w:txbxContent>
                <w:p w:rsidR="00A975FB" w:rsidRPr="00D4295F" w:rsidRDefault="00A975FB" w:rsidP="00A975FB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Температура</w:t>
                  </w:r>
                  <w:r w:rsidRPr="00EC38AE">
                    <w:rPr>
                      <w:sz w:val="24"/>
                      <w:szCs w:val="24"/>
                      <w:lang w:val="uk-UA"/>
                    </w:rPr>
                    <w:t xml:space="preserve"> газу, </w:t>
                  </w:r>
                  <w:r>
                    <w:rPr>
                      <w:sz w:val="24"/>
                      <w:szCs w:val="24"/>
                      <w:lang w:val="uk-UA"/>
                    </w:rPr>
                    <w:t>К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  P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1" type="#_x0000_t202" style="position:absolute;left:0;text-align:left;margin-left:342pt;margin-top:178.2pt;width:169.3pt;height:27pt;z-index:251675648" filled="f" stroked="f">
            <v:textbox>
              <w:txbxContent>
                <w:p w:rsidR="00A975FB" w:rsidRPr="00D4295F" w:rsidRDefault="00A975FB" w:rsidP="00A975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Ентропія газу</w:t>
                  </w:r>
                  <w:r w:rsidRPr="00644219">
                    <w:rPr>
                      <w:sz w:val="24"/>
                      <w:szCs w:val="24"/>
                      <w:lang w:val="uk-UA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кДж/кг К  </w:t>
                  </w:r>
                  <w:r w:rsidRPr="00D4295F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S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8" type="#_x0000_t202" style="position:absolute;left:0;text-align:left;margin-left:9pt;margin-top:61.2pt;width:36pt;height:99pt;z-index:251672576" filled="f" stroked="f">
            <v:textbox style="layout-flow:vertical;mso-layout-flow-alt:bottom-to-top">
              <w:txbxContent>
                <w:p w:rsidR="00A975FB" w:rsidRPr="00EC38AE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EC38AE">
                    <w:rPr>
                      <w:sz w:val="24"/>
                      <w:szCs w:val="24"/>
                      <w:lang w:val="uk-UA"/>
                    </w:rPr>
                    <w:t>Тиск газу, Па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9880" cy="2293620"/>
            <wp:effectExtent l="1905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1210" cy="1435976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43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9" type="#_x0000_t202" style="position:absolute;left:0;text-align:left;margin-left:99pt;margin-top:2.85pt;width:108pt;height:27pt;z-index:251673600" filled="f" stroked="f">
            <v:textbox>
              <w:txbxContent>
                <w:p w:rsidR="00A975FB" w:rsidRPr="00D4295F" w:rsidRDefault="00A975FB" w:rsidP="00A975FB">
                  <w:pPr>
                    <w:rPr>
                      <w:sz w:val="24"/>
                      <w:szCs w:val="24"/>
                      <w:lang w:val="uk-UA"/>
                    </w:rPr>
                  </w:pPr>
                  <w:r w:rsidRPr="00644219">
                    <w:rPr>
                      <w:sz w:val="24"/>
                      <w:szCs w:val="24"/>
                      <w:lang w:val="uk-UA"/>
                    </w:rPr>
                    <w:t>Об’єм газу , м</w:t>
                  </w:r>
                  <w:r w:rsidRPr="00644219">
                    <w:rPr>
                      <w:sz w:val="24"/>
                      <w:szCs w:val="24"/>
                      <w:vertAlign w:val="superscript"/>
                      <w:lang w:val="uk-UA"/>
                    </w:rPr>
                    <w:t>3</w:t>
                  </w:r>
                </w:p>
              </w:txbxContent>
            </v:textbox>
          </v:shape>
        </w:pic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а)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  <w:t xml:space="preserve">                  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  <w:t>б)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 xml:space="preserve">а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— в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-координатах;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б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— в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-координатах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Рисунок 1.16 - Цикл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Ренкіна</w:t>
      </w:r>
      <w:proofErr w:type="spellEnd"/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У процесі 2-2' пара повністю конденсується до стану киплячої рідини при тиску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віддаючи теплоту пароутворення охолоджуючій воді.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Процес стиснення води 2'-3 здійснюється в насосі; підвищення температури води, що має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місцепри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цьому,мізерно мало, і їм при тисках до 3-4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МПа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нехтують. Лінія 3-4 зображує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змінуоб’єму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води при нагріванні від температури в конденсаторі до температури кипіння. Робота насоса зображується заштрихованою площею 032'7.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Ентальпія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пари при виході з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перегрівачу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 точці 1 дорівнює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і в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-діаграмі зображується пл. 92'34617109.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Ентальпія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пари при вході в конденсатор в точці 2 дорівнює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і в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-діаграмі зображується пл. 92'27109.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Ентальпія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води при виході з конденсатора в точці 2' дорівнює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і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2’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і в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-діаграмі зображується пл. 92'8109. Корисна робота пари в циклі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Ренкіна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зображується в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pv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-діаграмі пл. 2'346122 '.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Якщо в циклі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Ренкіна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враховувати роботу насоса, то процес адіабатного стиснення води в ньому представиться в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-діаграмі ізохорою 2'-3, а ізобара 3-4 відповідатиме нагріванню води в котлі при тиску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до відповідної температури кипіння.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Термічний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циклу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Ренкіна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визначається за рівнянням (1.100).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Теплота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 циклі підводиться при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=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 процесах 3-4 (підігрів води до температури кипіння), 4-6 (пароутворення) і 6-1 (перегрів пари). Для </w:t>
      </w:r>
      <w:smartTag w:uri="urn:schemas-microsoft-com:office:smarttags" w:element="metricconverter">
        <w:smartTagPr>
          <w:attr w:name="ProductID" w:val="1 кг"/>
        </w:smartTagPr>
        <w:r w:rsidRPr="00A975FB">
          <w:rPr>
            <w:rFonts w:ascii="Times New Roman" w:hAnsi="Times New Roman" w:cs="Times New Roman"/>
            <w:sz w:val="28"/>
            <w:szCs w:val="28"/>
            <w:highlight w:val="white"/>
            <w:lang w:val="uk-UA"/>
          </w:rPr>
          <w:t>1 кг</w:t>
        </w:r>
      </w:smartTag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пари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 xml:space="preserve">1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дорівнює різниці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ентальпій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початкової і кінцевої точок процесу: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q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 i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i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Ця кількість теплоти зображується 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Ts-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діаграмі пл. 82'346178. Відвід теплоти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q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 xml:space="preserve">2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здійснюється у конденсаторі по ізобарі 2-2', отже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q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 i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i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vertAlign w:val="subscript"/>
          <w:lang w:val="uk-UA"/>
        </w:rPr>
        <w:t>2'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lastRenderedPageBreak/>
        <w:t xml:space="preserve">Відведена теплота зображується в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Ts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-діаграмі пл. 2'2782'. Термічний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циклу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Ренкіна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визначаємо за рівнянням: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position w:val="-30"/>
          <w:sz w:val="28"/>
          <w:szCs w:val="28"/>
          <w:lang w:val="uk-UA"/>
        </w:rPr>
        <w:object w:dxaOrig="4340" w:dyaOrig="700">
          <v:shape id="_x0000_i1041" type="#_x0000_t75" style="width:243pt;height:39pt" o:ole="">
            <v:imagedata r:id="rId51" o:title=""/>
          </v:shape>
          <o:OLEObject Type="Embed" ProgID="Equation.3" ShapeID="_x0000_i1041" DrawAspect="Content" ObjectID="_1688451131" r:id="rId52"/>
        </w:objec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ab/>
        <w:t>(1.111)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Розглядаючи це рівняння, можна помітити, що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-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- робота, що здійснюються турбіною (паровим двигуном), а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 xml:space="preserve">3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2’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- робота, що витрачається насосом. Цю роботу при адіабатному стисненні води можна виразити через питомий об'єм і тиск, враховуючи, що вода практично нестислива: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 xml:space="preserve">3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-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2’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= v(p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1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- p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Підставив цей вираз у (1.111) і замінив у знаменнику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 xml:space="preserve">3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=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2’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v(p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1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- p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, отримаємо: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position w:val="-30"/>
          <w:sz w:val="28"/>
          <w:szCs w:val="28"/>
          <w:lang w:val="uk-UA"/>
        </w:rPr>
        <w:object w:dxaOrig="2580" w:dyaOrig="700">
          <v:shape id="_x0000_i1042" type="#_x0000_t75" style="width:150.6pt;height:40.2pt" o:ole="">
            <v:imagedata r:id="rId53" o:title=""/>
          </v:shape>
          <o:OLEObject Type="Embed" ProgID="Equation.3" ShapeID="_x0000_i1042" DrawAspect="Content" ObjectID="_1688451132" r:id="rId54"/>
        </w:objec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(1.112)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Враховуючи, що питомий об'єм води дуже малий у порівнянні з питомим об'ємом пари, це рівняння можна спростити, надавши у наближеній формі: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3060" w:firstLine="708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position w:val="-30"/>
          <w:sz w:val="28"/>
          <w:szCs w:val="28"/>
          <w:lang w:val="uk-UA"/>
        </w:rPr>
        <w:object w:dxaOrig="1340" w:dyaOrig="700">
          <v:shape id="_x0000_i1043" type="#_x0000_t75" style="width:80.4pt;height:42pt" o:ole="">
            <v:imagedata r:id="rId55" o:title=""/>
          </v:shape>
          <o:OLEObject Type="Embed" ProgID="Equation.3" ShapeID="_x0000_i1043" DrawAspect="Content" ObjectID="_1688451133" r:id="rId56"/>
        </w:objec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(1.113)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Насправді розширення пари в турбіні відбувається не по адіабаті 1-2, а по лінії 1-2д. Втрати від незворотності розширення пари враховуються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lastRenderedPageBreak/>
        <w:t>внутрішнім відносним к. к. д. турбіни: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sz w:val="28"/>
          <w:szCs w:val="28"/>
          <w:lang w:val="uk-UA"/>
        </w:rPr>
        <w:fldChar w:fldCharType="begin"/>
      </w:r>
      <w:r w:rsidRPr="00A975FB">
        <w:rPr>
          <w:rFonts w:ascii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oi</m:t>
            </m:r>
          </m:sub>
        </m:sSub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2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 xml:space="preserve">2 </m:t>
                </m:r>
              </m:sub>
            </m:sSub>
          </m:den>
        </m:f>
      </m:oMath>
      <w:r w:rsidRPr="00A975FB">
        <w:rPr>
          <w:rFonts w:ascii="Times New Roman" w:hAnsi="Times New Roman" w:cs="Times New Roman"/>
          <w:b/>
          <w:sz w:val="28"/>
          <w:szCs w:val="28"/>
          <w:lang w:val="uk-UA"/>
        </w:rPr>
        <w:instrText xml:space="preserve"> </w:instrText>
      </w:r>
      <w:r w:rsidRPr="00A975FB">
        <w:rPr>
          <w:rFonts w:ascii="Times New Roman" w:hAnsi="Times New Roman" w:cs="Times New Roman"/>
          <w:b/>
          <w:sz w:val="28"/>
          <w:szCs w:val="28"/>
          <w:lang w:val="uk-UA"/>
        </w:rPr>
        <w:fldChar w:fldCharType="separate"/>
      </w:r>
      <w:r w:rsidRPr="00A975FB">
        <w:rPr>
          <w:rFonts w:ascii="Times New Roman" w:hAnsi="Times New Roman" w:cs="Times New Roman"/>
          <w:b/>
          <w:sz w:val="28"/>
          <w:szCs w:val="28"/>
          <w:lang w:val="uk-UA"/>
        </w:rPr>
        <w:fldChar w:fldCharType="end"/>
      </w:r>
      <w:r w:rsidRPr="00A975FB">
        <w:rPr>
          <w:rFonts w:ascii="Times New Roman" w:hAnsi="Times New Roman" w:cs="Times New Roman"/>
          <w:b/>
          <w:bCs/>
          <w:position w:val="-30"/>
          <w:sz w:val="28"/>
          <w:szCs w:val="28"/>
          <w:lang w:val="uk-UA"/>
        </w:rPr>
        <w:object w:dxaOrig="1240" w:dyaOrig="700">
          <v:shape id="_x0000_i1044" type="#_x0000_t75" style="width:73.2pt;height:41.4pt" o:ole="">
            <v:imagedata r:id="rId57" o:title=""/>
          </v:shape>
          <o:OLEObject Type="Embed" ProgID="Equation.3" ShapeID="_x0000_i1044" DrawAspect="Content" ObjectID="_1688451134" r:id="rId58"/>
        </w:objec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(1.114)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Аналіз циклу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Ренкіна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показує, що його термічний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к.к.д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зростає із збільшенням початкових тиску і температури пари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 xml:space="preserve">1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і зі зменшенням кінцевого тиску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у конденсаторі.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i/>
          <w:sz w:val="28"/>
          <w:szCs w:val="28"/>
          <w:highlight w:val="white"/>
          <w:lang w:val="uk-UA"/>
        </w:rPr>
        <w:t xml:space="preserve">Цикл поршневого компресора. 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Компресором називається машина, призначена для стиснення газу або пари і транспорту його до споживача. За принципом стиснення робочого тіла в компресорі ці машини класифікуються на дві основні групи: перша - поршневі, гвинтові і ротаційні, друга -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лопаточні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. У першій групі машин стиснення робочого тіла здійснюється шляхом зменшення його об'єму, у другій - шляхом руху потоку по каналах змінного перерізу.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Завданням термодинамічного аналізу компресора є визначення роботи, що витрачається на стиснення робочого тіла при заданих початкових і кінцевих параметрах. Так як термодинамічні процеси, що протікають в поршневих і ротаційних компресорах, ідентичні, то обмежимося розглядом роботи поршневого компресора.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На рис. 1.17 зображені принципова схема одноступінчатого поршневого компресора і так звана теоретична індикаторна діаграма, яка показує залежність тиску робочого тіла в циліндрі від ходу поршня протягом одного обороту вала або, що те ж, від змінного обсягу робочого тіла в циліндрі. При русі поршня з крайнього лівого положення в праве в циліндрі машини через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всмоктуючий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клапан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надходить газ, який при подальшому русі поршня справа наліво (при закритих клапанах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) стискується від тиску р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до р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 При досягненні газом тиску р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відкриється випускний клапан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тоді при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подальшому русі поршня справа наліво буде відбуватися процес виштовхування газу з циліндра компресора в нагнітальний трубопровід. Коли поршень прийде в крайнє ліве положення, відкриється впускний клапан і процес почнеться знову. Як випливає з описаних процесів, що протікають в циліндрі компресора, тільки в процесі стиснення газу (процес 1-2 на індикаторної діаграмі) маса його залишається незмінною; при всмоктуванні газу в циліндр компресора (процес </w:t>
      </w:r>
      <w:r w:rsidRPr="00A975F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- 1) обсяг зростає від нуля до </w:t>
      </w:r>
      <w:proofErr w:type="spellStart"/>
      <w:r w:rsidRPr="00A975F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, а в процесі виштовхування (процес 2-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) зменшується від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до нуля. Цим принципово відрізняється індикаторна діаграма від </w:t>
      </w:r>
      <w:r w:rsidRPr="00A975F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A975FB">
        <w:rPr>
          <w:rFonts w:ascii="Times New Roman" w:hAnsi="Times New Roman" w:cs="Times New Roman"/>
          <w:i/>
          <w:sz w:val="28"/>
          <w:szCs w:val="28"/>
        </w:rPr>
        <w:t>-</w:t>
      </w:r>
      <w:r w:rsidRPr="00A975F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-діаграми.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Стиснення газу 1 – 2 – термодинамічний процес, тому що в ньому бере участь постійна кількість газу. При одному й тому ж кінцевому тиску </w:t>
      </w:r>
      <w:r w:rsidRPr="00A975FB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кінцевий об’єм </w:t>
      </w:r>
      <w:r w:rsidRPr="00A975F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975F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буде різний у залежності від того, за яким процесом відбувається стиснення, а тому буде різною і робота, що витрачається на привід компресору.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8960" cy="3436620"/>
            <wp:effectExtent l="19050" t="0" r="0" b="0"/>
            <wp:docPr id="45" name="Рисунок 45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10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en-US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lastRenderedPageBreak/>
        <w:t>Рисунок 1.17 – Цикл поршневого компресору та його принципова схема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Найбільш вигідним процесом стиснення є ізотермічний. Однак ізотермічне стиснення у компресорі практично не можливо, і крива стиснення розташовується зазвичай між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ізотермой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адіабатой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Практично стиснення здійснюється за політропою з показником n = 1,2…1,25. Чим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чим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інтенсивніше буде охолодження газу при стисненні, тим більше політропа буде відхилятися від адіабати в бік ізотерми.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Теоретична робота компресора, що витрачається на стиснення 1 кг газу: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</w:rPr>
        <w:t xml:space="preserve">                   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  <m:sSub>
          <m:sSub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Times New Roman" w:cs="Times New Roman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="Calibri" w:hAnsi="Times New Roman" w:cs="Times New Roman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den>
                </m:f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e>
        </m:d>
      </m:oMath>
      <w:r w:rsidRPr="00A975FB">
        <w:rPr>
          <w:rFonts w:ascii="Times New Roman" w:hAnsi="Times New Roman" w:cs="Times New Roman"/>
          <w:sz w:val="28"/>
          <w:szCs w:val="28"/>
        </w:rPr>
        <w:t xml:space="preserve">                          (1.115)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highlight w:val="white"/>
          <w:lang w:val="uk-UA"/>
        </w:rPr>
        <w:t xml:space="preserve">1.1.15 Третій закон термодинаміки 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Перший і другий закони термодинаміки не дозволяють визначити значення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S</w:t>
      </w:r>
      <w:r w:rsidRPr="00A975FB">
        <w:rPr>
          <w:rFonts w:ascii="Times New Roman" w:hAnsi="Times New Roman" w:cs="Times New Roman"/>
          <w:sz w:val="28"/>
          <w:szCs w:val="28"/>
          <w:highlight w:val="white"/>
          <w:vertAlign w:val="subscript"/>
          <w:lang w:val="uk-UA"/>
        </w:rPr>
        <w:t>0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ентропії системи при абсолютному нулі температури (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T=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0К). У зв'язку з цим виявляється неможливим теоретичний розрахунок абсолютних значень ентропії та інших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параметрів.На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підставі узагальнення експериментальних досліджень властивостей різних речовин при наднизьких температурах був встановлений закон, що усунув зазначену трудність і отримав назву принципу (теореми)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Нернста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або третього закону термодинаміки.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Третій закон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термодинамікивстановлює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початок відліку ентропії. Він говорить: </w:t>
      </w: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 xml:space="preserve">ентропія будь термодинамічної системи прагне до нуля при </w:t>
      </w: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lastRenderedPageBreak/>
        <w:t>прагненні до нуля абсолютної температури системи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, тобто </w:t>
      </w:r>
      <m:oMath>
        <m:func>
          <m:func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b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→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0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=0</m:t>
            </m:r>
          </m:e>
        </m:func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  </m:t>
        </m:r>
      </m:oMath>
      <w:r w:rsidRPr="00A975FB">
        <w:rPr>
          <w:rFonts w:ascii="Times New Roman" w:hAnsi="Times New Roman" w:cs="Times New Roman"/>
          <w:b/>
          <w:i/>
          <w:sz w:val="28"/>
          <w:szCs w:val="28"/>
          <w:highlight w:val="white"/>
          <w:lang w:val="uk-UA"/>
        </w:rPr>
        <w:t xml:space="preserve">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Друге положення теореми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Нернста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стверджує, що </w:t>
      </w: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highlight w:val="white"/>
          <w:lang w:val="uk-UA"/>
        </w:rPr>
        <w:t>всі процеси поблизу абсолютного нуля, що переводять систему з одного рівноважного стану в інший, відбуваються без зміни ентропії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З третього закону термодинаміки випливає, що для всіх тіл при T → 0 К звертаються в нуль теплоємності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Сp</w:t>
      </w:r>
      <w:proofErr w:type="spellEnd"/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lang w:val="uk-UA"/>
        </w:rPr>
        <w:t>С</w:t>
      </w:r>
      <w:r w:rsidRPr="00A975FB">
        <w:rPr>
          <w:rFonts w:ascii="Times New Roman" w:hAnsi="Times New Roman" w:cs="Times New Roman"/>
          <w:i/>
          <w:iCs/>
          <w:sz w:val="28"/>
          <w:szCs w:val="28"/>
          <w:highlight w:val="white"/>
          <w:vertAlign w:val="subscript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. З нього також випливає висновок про неможливість здійснення такого процесу, в результаті якого тіло охололи б до температури </w:t>
      </w:r>
      <w:r w:rsidRPr="00A975FB">
        <w:rPr>
          <w:rFonts w:ascii="Times New Roman" w:hAnsi="Times New Roman" w:cs="Times New Roman"/>
          <w:i/>
          <w:sz w:val="28"/>
          <w:szCs w:val="28"/>
          <w:highlight w:val="white"/>
          <w:lang w:val="uk-UA"/>
        </w:rPr>
        <w:t>T = 0 К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(</w:t>
      </w:r>
      <w:r w:rsidRPr="00A975FB">
        <w:rPr>
          <w:rFonts w:ascii="Times New Roman" w:hAnsi="Times New Roman" w:cs="Times New Roman"/>
          <w:bCs/>
          <w:i/>
          <w:iCs/>
          <w:sz w:val="28"/>
          <w:szCs w:val="28"/>
          <w:highlight w:val="white"/>
          <w:lang w:val="uk-UA"/>
        </w:rPr>
        <w:t>принцип недосяжності абсолютного нуля температури</w:t>
      </w:r>
      <w:r w:rsidRPr="00A975FB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)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val="uk-UA"/>
        </w:rPr>
      </w:pPr>
      <w:r w:rsidRPr="00A975FB">
        <w:rPr>
          <w:rFonts w:ascii="Times New Roman" w:hAnsi="Times New Roman" w:cs="Times New Roman"/>
          <w:b/>
          <w:bCs/>
          <w:sz w:val="28"/>
          <w:szCs w:val="28"/>
          <w:highlight w:val="white"/>
          <w:lang w:val="uk-UA"/>
        </w:rPr>
        <w:t>1.1.16 Водяна пара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Основні поняття та визначення.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Перехід речовини з одного агрегатного стану в інший називається фазовим переходом, або фазовим перетворенням.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Перехід речовини з твердого стану в рідкий називається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плавленням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з рідкого в газоподібний -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пароутворенням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з твердого в газоподібний -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сублімацією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Зворотні процеси відповідно називаються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затвердінням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кристалізацією, конденсацією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десублімацією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Процес отримання пари з рідини може здійснюватися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випаровуванням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кипінням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Випаровуванням називається пароутворення, що відбувається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>тільки з вільної поверхні рідини і при будь-якій температурі.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Кипінням називається пароутворення по всій масі рідини, яке відбувається при передачі рідини певної кількості теплоти. При цьому бульбашки пари, що утворилися у стінок посудини і всередині рідини збільшуючись в обсязі, піднімаються на поверхню рідини.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Цей процес починається при досягненні рідиною температури кипіння, яка ще називається температурою насичення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протягом усього процесу залишається незмінною. Температура кипіння, або температура насичення,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природи речовини і тиску, причому з підвищенням тиску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збільшується. Тиск,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відповідний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тиском насичення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Насиченою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парою називають пару, яка утворилася в процесі кипіння і знаходиться в динамічній рівновазі з рідиною. Насичена пара за своїм станом буває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сухою насиченою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вологою насиченою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[4].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Суха насичена пара являє собою пару, що не містить крапель рідини і має температуру насичення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t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) при даному тиску.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Волога насичена пара - це рівноважна суміш, що складається з крапель рідини, що знаходиться при температурі кипіння, і сухої насиченої пари.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маси сухої пари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m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с.п.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до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маси всієї вологої пари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m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в.п.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називається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ступенем сухості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  <w:r w:rsidRPr="00A975FB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920" w:dyaOrig="680">
          <v:shape id="_x0000_i1045" type="#_x0000_t75" style="width:46.2pt;height:34.2pt" o:ole="">
            <v:imagedata r:id="rId60" o:title=""/>
          </v:shape>
          <o:OLEObject Type="Embed" ProgID="Equation.3" ShapeID="_x0000_i1045" DrawAspect="Content" ObjectID="_1688451135" r:id="rId61"/>
        </w:objec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Очевидно, що для рідини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0, для сухої насиченої пари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х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= 1 [4].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Якщо до сухої насиченої пари продовжувати підводити теплоту, то її температура збільшиться. Пара, температура якої при даному тиску більше, ніж температура насичення(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t&gt;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), називається перегрітою. Величина перевищення температурою пари температури кипіння рідини називається ступенем перегріву пари.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Водяна пара є реальним робочим тілом і може перебувати в трьох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станах: вологого насичення, сухого насичення і в перегрітому стані. Для технічних потреб водяну пару отримують в парових котлах (парогенераторах), де спеціально підтримується постійний тиск.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Процес пароутворення в pv-координатах </w:t>
      </w:r>
      <w:r w:rsidRPr="00A975FB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(рис. 1.18)</w:t>
      </w:r>
      <w:r w:rsidRPr="00A975F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A975F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За початкову температуру води при будь-якому тиску, приймають температуру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0 °С. Таким чином, лінія I на рис. відповідає станам так званої холодної рідини при різних тисках, що має температуру 0 °С (ізотерма холодної рідини). Питомий об'єм води при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t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= 0 °С приймається рівним 0,001 м</w:t>
      </w:r>
      <w:r w:rsidRPr="00A975F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/кг. Внаслідок незначної стисливості води, лінія I виявляється майже вертикальною прямою. Лівіше цій прямій знаходиться область рівноважного співіснування води і льоду [4].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За початок відліку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u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для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водиприйнято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вважати потрійну точку TT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=611 Па,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=0,01 C,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=0,00100 м</w:t>
      </w:r>
      <w:r w:rsidRPr="00A975F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/кг) [4]. У цій точці вода, лід і пар знаходяться в стані термодинамічної рівноваги. Нехтуючи впливом тиску на зміну об’єму води, вважають для всіх станів на лінії I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=0,00100 м</w:t>
      </w:r>
      <w:r w:rsidRPr="00A975F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/кг,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u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=0,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i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=0 та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s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=0 [4].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3" type="#_x0000_t202" style="position:absolute;left:0;text-align:left;margin-left:225pt;margin-top:209.4pt;width:108pt;height:27pt;z-index:251677696" filled="f" stroked="f">
            <v:textbox style="mso-next-textbox:#_x0000_s1043">
              <w:txbxContent>
                <w:p w:rsidR="00A975FB" w:rsidRPr="009261B2" w:rsidRDefault="00A975FB" w:rsidP="00A975FB">
                  <w:pPr>
                    <w:rPr>
                      <w:lang w:val="uk-UA"/>
                    </w:rPr>
                  </w:pPr>
                  <w:r w:rsidRPr="009261B2">
                    <w:rPr>
                      <w:lang w:val="uk-UA"/>
                    </w:rPr>
                    <w:t>Об’єм газу , м</w:t>
                  </w:r>
                  <w:r w:rsidRPr="009261B2">
                    <w:rPr>
                      <w:vertAlign w:val="superscript"/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2" type="#_x0000_t202" style="position:absolute;left:0;text-align:left;margin-left:117pt;margin-top:79.6pt;width:36pt;height:99pt;z-index:251676672" filled="f" stroked="f">
            <v:textbox style="layout-flow:vertical;mso-layout-flow-alt:bottom-to-top">
              <w:txbxContent>
                <w:p w:rsidR="00A975FB" w:rsidRPr="009261B2" w:rsidRDefault="00A975FB" w:rsidP="00A975FB">
                  <w:pPr>
                    <w:rPr>
                      <w:lang w:val="uk-UA"/>
                    </w:rPr>
                  </w:pPr>
                  <w:r w:rsidRPr="009261B2">
                    <w:rPr>
                      <w:lang w:val="uk-UA"/>
                    </w:rPr>
                    <w:t>Тиск газу, Па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9420" cy="282702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>Рисунок 1.18 - Графік процесу пароутворення в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pv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-координатах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Нехай вода нагрівається при постійному тиску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Початковий її стан визначається точкою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кінцевий (точка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b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) - досягненням при заданому тиску температури кипіння, що залежить від тиску. З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рv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- діаграми випливає, що зі збільшенням тиску температура кипіння збільшується. Ця залежність встановлюється дослідним шляхом.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Стани киплячої води для різних тисків будуть відповідати лінії II, яка називається нижньою прикордонною кривою. Вона зображує залежність питомих обсягів киплячої води від тиску. На нижній прикордонній кривій ступінь сухості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= 0 [5].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Параметри киплячої води наводяться в таблицях в залежності їх від тиску або температури. Кількість теплоти, необхідна для доведення води до кипіння дорівнює: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object w:dxaOrig="1300" w:dyaOrig="760">
          <v:shape id="_x0000_i1046" type="#_x0000_t75" style="width:80.4pt;height:48pt" o:ole="">
            <v:imagedata r:id="rId63" o:title=""/>
          </v:shape>
          <o:OLEObject Type="Embed" ProgID="Equation.3" ShapeID="_x0000_i1046" DrawAspect="Content" ObjectID="_1688451136" r:id="rId64"/>
        </w:objec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ab/>
        <w:t>(1.115)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Подальше підведення теплоти до киплячої води супроводжується паротворенням всередині рідини і переходом частини води в пару. Таким чином, ділянці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b-с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буде відповідати рівноважний стан суміші рідини і пари (волога насичена пара). У кожній точці цього процесу вода буде характеризуватися певним ступенем сухості х.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Кінцевий стан у стадії кипіння характеризується повним перетворенням рідини в пару, яка матиме температуру, рівну температурі насичення (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c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) при заданому тиску. Такий пар, як уже згадувалося, носить назву сухої насиченої пари,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1 [5].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Процес пароутворення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b-с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є одночасно ізобарним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p=p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) і ізотермічним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 = 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). При цьому теплота витрачається не на підвищення температури, а тільки на подолання сил тяжіння між молекулами і на роботу розширення пари.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Враховуючи, що між температурою насичення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тиском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існує однозначний зв'язок, стан сухої насиченої пари буде визначатися тільки одним параметром - тиском або температурою.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Стани сухої насиченої пари при різних тисках будуть відповідати лінії III, яка називається верхньою прикордонною кривою. На верхній прикордонній кривій в кожній точці ступінь сухості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1 [5].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У процесі пароутворення питомий об'єм води різко збільшується. Так, при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0,1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питомий об'єм киплячої води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0,001043 м</w:t>
      </w:r>
      <w:r w:rsidRPr="00A975F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/кг, тоді як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питомийоб'єм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сухої насиченої пари дорівнює 1,696 м</w:t>
      </w:r>
      <w:r w:rsidRPr="00A975F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/кг. Зі збільшенням тиску ця різниця зменшується і в критичній точці К питомі об'єми води і пари рівні 0,00326 м</w:t>
      </w:r>
      <w:r w:rsidRPr="00A975F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/кг. При цьому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кр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374,15 °С, а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кр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22,06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При тисках і температурах більших критичних процес пароутворення відсутній. Спостерігається плавний (не стрибкоподібний) перехід води в пару. Прийнято вважати, що в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закритичній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області кордоном між рідким і пароподібним станом служить точка максимальної теплоємності [6].</w:t>
      </w:r>
    </w:p>
    <w:p w:rsidR="00A975FB" w:rsidRPr="00A975FB" w:rsidRDefault="00A975FB" w:rsidP="00A975FB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Таблиці водяної пари.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Для ідеальних газів залежність між параметрами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р, 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встановлюється рівнянням стану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pv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RT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.Причому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два з цих параметрів однозначно визначають третій. Перегріта і насичена пари за своїми властивостями істотно відрізняються від ідеальних газів. Тому співвідношення між параметрами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р, 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значно складніше, ніж рівняння стану ідеального газу.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Для насичених парів тиск є функцією температури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 = f (Т)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). Таким чином, для насичених парів дві змінні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не визначають стану. Причому питомий об'єм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x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ступенем сухості пара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Питомий об'єм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x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функцією параметрів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Об'єми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b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c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є функціями температури або тиску (рис.). Отже, щоб визначити стан насиченої пари, необхідно встановити залежності виду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 = f (T), v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b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=f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(р),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v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c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= f</w:t>
      </w:r>
      <w:r w:rsidRPr="00A975F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2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(р)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В даний час відомі численні рівняння стану перегрітої водяної пари. Ці рівняння пов'язують між собою основні параметри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р, v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Т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найбільш точних рівнянь стану водяної пари є рівняння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Вукаловіча-Новикова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Однак такі рівняння, в тому числі і рівняння М.П.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Вукаловіча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І.І. Новікова, мають вельми складний вид і розрахунки по них є надзвичайно трудомісткими. Тому при практичних розрахунках параметрів парів використовуються спеціальні таблиці і діаграми, складені на підставі експериментальних і теоретичних даних. У них наводяться відповідні значення параметрів пари і води.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В даний час складені докладні таблиці для перегрітих і насичених водяних парів до температур 1000 °С і тиску 98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. Таблиці складені з високим ступенем точності 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Is-діаграма водяної </w:t>
      </w:r>
      <w:proofErr w:type="spellStart"/>
      <w:r w:rsidRPr="00A975F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пари.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Для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практичних розрахунків процесів водяної пари широке застосування отримала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is-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діаграма, на якій тепловміст і ентропія вимірюються лінійними відрізками.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У системі координат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i-s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(рис.1.19) спочатку будуються нижня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а-К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) і верхня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К-с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) прикордонні криві за табличними даними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i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s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Нижня прикордонна крива проходить через початок координат, так як при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t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= 0 °С ентропія 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ентальпія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прийняті рівними нулю. Потім наносять ізобари, які в області насиченої пари, будучи одночасно і ізотермами, є прямими лініями, так як при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p=const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dq=di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object w:dxaOrig="1320" w:dyaOrig="620">
          <v:shape id="_x0000_i1047" type="#_x0000_t75" style="width:66pt;height:31.2pt" o:ole="">
            <v:imagedata r:id="rId65" o:title=""/>
          </v:shape>
          <o:OLEObject Type="Embed" ProgID="Equation.3" ShapeID="_x0000_i1047" DrawAspect="Content" ObjectID="_1688451137" r:id="rId66"/>
        </w:objec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Тому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di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Tds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при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T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consti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Ts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+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Отже, на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is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-діаграмі кутовий коефіцієнт ізобари дорівнює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. Тому чим вище тиск насичення, тим вище температура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і тим більше тангенс кута нахилу ізобари 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7" type="#_x0000_t202" style="position:absolute;left:0;text-align:left;margin-left:162pt;margin-top:263.1pt;width:210.85pt;height:27pt;z-index:251681792" stroked="f">
            <v:textbox>
              <w:txbxContent>
                <w:p w:rsidR="00A975FB" w:rsidRPr="00D40ACC" w:rsidRDefault="00A975FB" w:rsidP="00A975FB">
                  <w:pPr>
                    <w:rPr>
                      <w:lang w:val="uk-UA"/>
                    </w:rPr>
                  </w:pPr>
                  <w:r w:rsidRPr="00D40ACC">
                    <w:rPr>
                      <w:lang w:val="uk-UA"/>
                    </w:rPr>
                    <w:t>Ентропія газу, кДж/кг К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4" type="#_x0000_t202" style="position:absolute;left:0;text-align:left;margin-left:84.8pt;margin-top:44.1pt;width:36pt;height:170.6pt;z-index:251678720" filled="f" stroked="f">
            <v:textbox style="layout-flow:vertical;mso-layout-flow-alt:bottom-to-top">
              <w:txbxContent>
                <w:p w:rsidR="00A975FB" w:rsidRPr="0095179E" w:rsidRDefault="00A975FB" w:rsidP="00A975FB">
                  <w:pPr>
                    <w:rPr>
                      <w:lang w:val="uk-UA"/>
                    </w:rPr>
                  </w:pPr>
                  <w:proofErr w:type="spellStart"/>
                  <w:r>
                    <w:rPr>
                      <w:lang w:val="uk-UA"/>
                    </w:rPr>
                    <w:t>Ентальпія</w:t>
                  </w:r>
                  <w:proofErr w:type="spellEnd"/>
                  <w:r>
                    <w:rPr>
                      <w:lang w:val="uk-UA"/>
                    </w:rPr>
                    <w:t xml:space="preserve"> газу</w:t>
                  </w:r>
                  <w:r w:rsidRPr="0095179E">
                    <w:rPr>
                      <w:lang w:val="uk-UA"/>
                    </w:rPr>
                    <w:t xml:space="preserve">, </w:t>
                  </w:r>
                  <w:r w:rsidRPr="00D40ACC">
                    <w:rPr>
                      <w:lang w:val="uk-UA"/>
                    </w:rPr>
                    <w:t>кДж/кг</w:t>
                  </w:r>
                </w:p>
              </w:txbxContent>
            </v:textbox>
          </v:shape>
        </w:pict>
      </w:r>
      <w:r w:rsidRPr="00A97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2340" cy="3406140"/>
            <wp:effectExtent l="1905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Рисунок 1.19 - </w:t>
      </w:r>
      <w:r w:rsidRPr="00A975FB">
        <w:rPr>
          <w:rFonts w:ascii="Times New Roman" w:hAnsi="Times New Roman" w:cs="Times New Roman"/>
          <w:i/>
          <w:iCs/>
          <w:caps/>
          <w:sz w:val="28"/>
          <w:szCs w:val="28"/>
          <w:lang w:val="uk-UA"/>
        </w:rPr>
        <w:t>i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s-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діаграма водяної пари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В області перегрітої пари ізобари і ізотерми розходяться, причому ізобари піднімаються догори у вигляді логарифмічних кривих, а ізотерми прагнуть до горизонталі. Це пояснюється тим, що з пониженням тиску перегріта пара за властивостями наближається до ідеального газу,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ентальпія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якого залежить тільки від температури, тобто лінії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t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одночасно є лініями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i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. Чим більше температура, тим вище розташована ізотерма.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В області вологої пари нанесені лінії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однаковогоступеню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сухості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х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. На цю ж діаграму часто наносять ще ізохори, які проходять крутіше ізобар.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Is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-діаграма має низку важливих властивостей: по ній можна швидко визначити параметри пари і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різницюентальпій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відрізків, наочно зобразити адіабатний процес, що має велике значення при вивченні роботи 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lastRenderedPageBreak/>
        <w:t>парових двигунів, і вирішувати інші завдання. Зазвичай для практичного використання у великому масштабі будують так звану робочу частину діаграми (на рис. вона обмежена штрих-пунктиром).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5FB">
        <w:rPr>
          <w:rFonts w:ascii="Times New Roman" w:hAnsi="Times New Roman" w:cs="Times New Roman"/>
          <w:sz w:val="28"/>
          <w:szCs w:val="28"/>
          <w:lang w:val="uk-UA"/>
        </w:rPr>
        <w:t>Основні термодинамічні процеси водяної пари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v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p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t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) представлені на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is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>-діаграмі відповідними кривими. Адіабатний процес (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s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) зображується прямою, паралельною осі ординат. Слід звернути особливу увагу на різні закономірності зміни параметрів стану пари в термодинамічних процесах в залежності від стану пари (насичена або перегріта). Так, в ізотермічному процесі в області насиченої пари </w:t>
      </w:r>
      <w:proofErr w:type="spellStart"/>
      <w:r w:rsidRPr="00A975FB">
        <w:rPr>
          <w:rFonts w:ascii="Times New Roman" w:hAnsi="Times New Roman" w:cs="Times New Roman"/>
          <w:sz w:val="28"/>
          <w:szCs w:val="28"/>
          <w:lang w:val="uk-UA"/>
        </w:rPr>
        <w:t>ентальпія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змінюється значно, а в області перегрітої пари, особливо далеко від лінії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= 1, процес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t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 xml:space="preserve"> наближається до </w:t>
      </w:r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i = </w:t>
      </w:r>
      <w:proofErr w:type="spellStart"/>
      <w:r w:rsidRPr="00A975FB">
        <w:rPr>
          <w:rFonts w:ascii="Times New Roman" w:hAnsi="Times New Roman" w:cs="Times New Roman"/>
          <w:i/>
          <w:iCs/>
          <w:sz w:val="28"/>
          <w:szCs w:val="28"/>
          <w:lang w:val="uk-UA"/>
        </w:rPr>
        <w:t>const</w:t>
      </w:r>
      <w:proofErr w:type="spellEnd"/>
      <w:r w:rsidRPr="00A975FB">
        <w:rPr>
          <w:rFonts w:ascii="Times New Roman" w:hAnsi="Times New Roman" w:cs="Times New Roman"/>
          <w:sz w:val="28"/>
          <w:szCs w:val="28"/>
          <w:lang w:val="uk-UA"/>
        </w:rPr>
        <w:t>. Це свідчить про те, що властивості перегрітої пари в цих областях наближаються до властивостей ідеального газу [6].</w:t>
      </w: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75FB" w:rsidRPr="00A975FB" w:rsidRDefault="00A975FB" w:rsidP="00A97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75F2" w:rsidRPr="00A975FB" w:rsidRDefault="003F75F2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3F75F2" w:rsidRPr="00A97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3.2pt;height:12pt" o:bullet="t">
        <v:imagedata r:id="rId1" o:title=""/>
      </v:shape>
    </w:pict>
  </w:numPicBullet>
  <w:abstractNum w:abstractNumId="0">
    <w:nsid w:val="FFFFFF89"/>
    <w:multiLevelType w:val="singleLevel"/>
    <w:tmpl w:val="824E6C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1D70D6F2"/>
    <w:lvl w:ilvl="0">
      <w:numFmt w:val="bullet"/>
      <w:lvlText w:val="*"/>
      <w:lvlJc w:val="left"/>
    </w:lvl>
  </w:abstractNum>
  <w:abstractNum w:abstractNumId="2">
    <w:nsid w:val="086A737E"/>
    <w:multiLevelType w:val="singleLevel"/>
    <w:tmpl w:val="E264BB60"/>
    <w:lvl w:ilvl="0">
      <w:start w:val="3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">
    <w:nsid w:val="0A342C66"/>
    <w:multiLevelType w:val="hybridMultilevel"/>
    <w:tmpl w:val="0924F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C0678E5"/>
    <w:multiLevelType w:val="singleLevel"/>
    <w:tmpl w:val="CA34C5C2"/>
    <w:lvl w:ilvl="0">
      <w:start w:val="2"/>
      <w:numFmt w:val="decimal"/>
      <w:lvlText w:val="1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5">
    <w:nsid w:val="0CA307C9"/>
    <w:multiLevelType w:val="multilevel"/>
    <w:tmpl w:val="62AE4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tabs>
          <w:tab w:val="num" w:pos="1254"/>
        </w:tabs>
        <w:ind w:left="12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62"/>
        </w:tabs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70"/>
        </w:tabs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04"/>
        </w:tabs>
        <w:ind w:left="320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78"/>
        </w:tabs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912"/>
        </w:tabs>
        <w:ind w:left="3912" w:hanging="2160"/>
      </w:pPr>
      <w:rPr>
        <w:rFonts w:cs="Times New Roman" w:hint="default"/>
      </w:rPr>
    </w:lvl>
  </w:abstractNum>
  <w:abstractNum w:abstractNumId="6">
    <w:nsid w:val="0FE2143F"/>
    <w:multiLevelType w:val="singleLevel"/>
    <w:tmpl w:val="5DB08CE6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7">
    <w:nsid w:val="11120D1A"/>
    <w:multiLevelType w:val="multilevel"/>
    <w:tmpl w:val="001EC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44F5E13"/>
    <w:multiLevelType w:val="singleLevel"/>
    <w:tmpl w:val="6C8A8136"/>
    <w:lvl w:ilvl="0">
      <w:start w:val="2"/>
      <w:numFmt w:val="decimal"/>
      <w:lvlText w:val="%1. "/>
      <w:legacy w:legacy="1" w:legacySpace="0" w:legacyIndent="283"/>
      <w:lvlJc w:val="left"/>
      <w:pPr>
        <w:ind w:left="136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9">
    <w:nsid w:val="16267288"/>
    <w:multiLevelType w:val="singleLevel"/>
    <w:tmpl w:val="2E2C968A"/>
    <w:lvl w:ilvl="0">
      <w:start w:val="1"/>
      <w:numFmt w:val="decimal"/>
      <w:lvlText w:val="2.2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0">
    <w:nsid w:val="174A2F15"/>
    <w:multiLevelType w:val="hybridMultilevel"/>
    <w:tmpl w:val="001EC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80C35D3"/>
    <w:multiLevelType w:val="hybridMultilevel"/>
    <w:tmpl w:val="A18262F6"/>
    <w:lvl w:ilvl="0" w:tplc="2D7EA48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1B065E12"/>
    <w:multiLevelType w:val="hybridMultilevel"/>
    <w:tmpl w:val="62F6F89A"/>
    <w:lvl w:ilvl="0" w:tplc="C272045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B0708B9"/>
    <w:multiLevelType w:val="hybridMultilevel"/>
    <w:tmpl w:val="B9EE9946"/>
    <w:lvl w:ilvl="0" w:tplc="B944F808">
      <w:start w:val="65535"/>
      <w:numFmt w:val="bullet"/>
      <w:lvlText w:val="–"/>
      <w:lvlJc w:val="left"/>
      <w:pPr>
        <w:tabs>
          <w:tab w:val="num" w:pos="1080"/>
        </w:tabs>
        <w:ind w:left="108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1DFE56F6"/>
    <w:multiLevelType w:val="singleLevel"/>
    <w:tmpl w:val="EDAC6738"/>
    <w:lvl w:ilvl="0">
      <w:start w:val="3"/>
      <w:numFmt w:val="decimal"/>
      <w:lvlText w:val="2.2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5">
    <w:nsid w:val="1FFA7650"/>
    <w:multiLevelType w:val="singleLevel"/>
    <w:tmpl w:val="42DC780A"/>
    <w:lvl w:ilvl="0">
      <w:start w:val="4"/>
      <w:numFmt w:val="decimal"/>
      <w:lvlText w:val="2.2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6">
    <w:nsid w:val="22821333"/>
    <w:multiLevelType w:val="hybridMultilevel"/>
    <w:tmpl w:val="76D2C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5A84C97"/>
    <w:multiLevelType w:val="hybridMultilevel"/>
    <w:tmpl w:val="04C68C30"/>
    <w:lvl w:ilvl="0" w:tplc="312276D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0C12E7"/>
    <w:multiLevelType w:val="hybridMultilevel"/>
    <w:tmpl w:val="9E88698E"/>
    <w:lvl w:ilvl="0" w:tplc="C2720450">
      <w:start w:val="1"/>
      <w:numFmt w:val="bullet"/>
      <w:lvlText w:val=""/>
      <w:lvlJc w:val="left"/>
      <w:pPr>
        <w:tabs>
          <w:tab w:val="num" w:pos="1644"/>
        </w:tabs>
        <w:ind w:left="1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A037AA"/>
    <w:multiLevelType w:val="singleLevel"/>
    <w:tmpl w:val="7D2C687A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0">
    <w:nsid w:val="3122127D"/>
    <w:multiLevelType w:val="singleLevel"/>
    <w:tmpl w:val="6C8A8136"/>
    <w:lvl w:ilvl="0">
      <w:start w:val="2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1">
    <w:nsid w:val="316D570F"/>
    <w:multiLevelType w:val="hybridMultilevel"/>
    <w:tmpl w:val="298C4478"/>
    <w:lvl w:ilvl="0" w:tplc="648A656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4C63C71"/>
    <w:multiLevelType w:val="singleLevel"/>
    <w:tmpl w:val="0C462C80"/>
    <w:lvl w:ilvl="0">
      <w:start w:val="2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3">
    <w:nsid w:val="427826D3"/>
    <w:multiLevelType w:val="hybridMultilevel"/>
    <w:tmpl w:val="50AC29C8"/>
    <w:lvl w:ilvl="0" w:tplc="0419000F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0D0762"/>
    <w:multiLevelType w:val="singleLevel"/>
    <w:tmpl w:val="C544716A"/>
    <w:lvl w:ilvl="0">
      <w:start w:val="2"/>
      <w:numFmt w:val="decimal"/>
      <w:lvlText w:val="3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5">
    <w:nsid w:val="460A3669"/>
    <w:multiLevelType w:val="singleLevel"/>
    <w:tmpl w:val="6E6C952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6">
    <w:nsid w:val="484D72EA"/>
    <w:multiLevelType w:val="singleLevel"/>
    <w:tmpl w:val="6C8A8136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7">
    <w:nsid w:val="487F7872"/>
    <w:multiLevelType w:val="multilevel"/>
    <w:tmpl w:val="1B04BB4E"/>
    <w:lvl w:ilvl="0">
      <w:start w:val="12"/>
      <w:numFmt w:val="decimal"/>
      <w:lvlText w:val="%1"/>
      <w:lvlJc w:val="left"/>
      <w:pPr>
        <w:tabs>
          <w:tab w:val="num" w:pos="636"/>
        </w:tabs>
        <w:ind w:left="636" w:hanging="636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345"/>
        </w:tabs>
        <w:ind w:left="1345" w:hanging="6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8">
    <w:nsid w:val="49003706"/>
    <w:multiLevelType w:val="singleLevel"/>
    <w:tmpl w:val="32987BD4"/>
    <w:lvl w:ilvl="0">
      <w:start w:val="3"/>
      <w:numFmt w:val="decimal"/>
      <w:lvlText w:val="3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9">
    <w:nsid w:val="4A514DAA"/>
    <w:multiLevelType w:val="singleLevel"/>
    <w:tmpl w:val="80084BFA"/>
    <w:lvl w:ilvl="0">
      <w:start w:val="2"/>
      <w:numFmt w:val="decimal"/>
      <w:lvlText w:val="2.2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0">
    <w:nsid w:val="4C290CA0"/>
    <w:multiLevelType w:val="hybridMultilevel"/>
    <w:tmpl w:val="2F2653A2"/>
    <w:lvl w:ilvl="0" w:tplc="C2720450">
      <w:start w:val="1"/>
      <w:numFmt w:val="bullet"/>
      <w:lvlText w:val="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4C6B7963"/>
    <w:multiLevelType w:val="multilevel"/>
    <w:tmpl w:val="298C4478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D435798"/>
    <w:multiLevelType w:val="singleLevel"/>
    <w:tmpl w:val="4F669064"/>
    <w:lvl w:ilvl="0">
      <w:start w:val="3"/>
      <w:numFmt w:val="decimal"/>
      <w:lvlText w:val="2.%1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3">
    <w:nsid w:val="59ED116C"/>
    <w:multiLevelType w:val="hybridMultilevel"/>
    <w:tmpl w:val="DF5C8164"/>
    <w:lvl w:ilvl="0" w:tplc="453EE53C">
      <w:start w:val="3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1" w:tplc="B7769BB4">
      <w:numFmt w:val="none"/>
      <w:lvlText w:val=""/>
      <w:lvlJc w:val="left"/>
      <w:pPr>
        <w:tabs>
          <w:tab w:val="num" w:pos="360"/>
        </w:tabs>
      </w:pPr>
    </w:lvl>
    <w:lvl w:ilvl="2" w:tplc="B440B340">
      <w:numFmt w:val="none"/>
      <w:lvlText w:val=""/>
      <w:lvlJc w:val="left"/>
      <w:pPr>
        <w:tabs>
          <w:tab w:val="num" w:pos="360"/>
        </w:tabs>
      </w:pPr>
    </w:lvl>
    <w:lvl w:ilvl="3" w:tplc="2072271E">
      <w:numFmt w:val="none"/>
      <w:lvlText w:val=""/>
      <w:lvlJc w:val="left"/>
      <w:pPr>
        <w:tabs>
          <w:tab w:val="num" w:pos="360"/>
        </w:tabs>
      </w:pPr>
    </w:lvl>
    <w:lvl w:ilvl="4" w:tplc="15E8C42E">
      <w:numFmt w:val="none"/>
      <w:lvlText w:val=""/>
      <w:lvlJc w:val="left"/>
      <w:pPr>
        <w:tabs>
          <w:tab w:val="num" w:pos="360"/>
        </w:tabs>
      </w:pPr>
    </w:lvl>
    <w:lvl w:ilvl="5" w:tplc="D16807B6">
      <w:numFmt w:val="none"/>
      <w:lvlText w:val=""/>
      <w:lvlJc w:val="left"/>
      <w:pPr>
        <w:tabs>
          <w:tab w:val="num" w:pos="360"/>
        </w:tabs>
      </w:pPr>
    </w:lvl>
    <w:lvl w:ilvl="6" w:tplc="18A0F5EA">
      <w:numFmt w:val="none"/>
      <w:lvlText w:val=""/>
      <w:lvlJc w:val="left"/>
      <w:pPr>
        <w:tabs>
          <w:tab w:val="num" w:pos="360"/>
        </w:tabs>
      </w:pPr>
    </w:lvl>
    <w:lvl w:ilvl="7" w:tplc="C7A2055A">
      <w:numFmt w:val="none"/>
      <w:lvlText w:val=""/>
      <w:lvlJc w:val="left"/>
      <w:pPr>
        <w:tabs>
          <w:tab w:val="num" w:pos="360"/>
        </w:tabs>
      </w:pPr>
    </w:lvl>
    <w:lvl w:ilvl="8" w:tplc="A538C608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5C5C7154"/>
    <w:multiLevelType w:val="multilevel"/>
    <w:tmpl w:val="DC1837D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0334982"/>
    <w:multiLevelType w:val="hybridMultilevel"/>
    <w:tmpl w:val="6A98B796"/>
    <w:lvl w:ilvl="0" w:tplc="648A6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6643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068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A05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CA88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80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2F5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C276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C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2F106CE"/>
    <w:multiLevelType w:val="singleLevel"/>
    <w:tmpl w:val="9ABEE252"/>
    <w:lvl w:ilvl="0">
      <w:start w:val="1"/>
      <w:numFmt w:val="decimal"/>
      <w:lvlText w:val="3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7">
    <w:nsid w:val="63190752"/>
    <w:multiLevelType w:val="singleLevel"/>
    <w:tmpl w:val="067AB4B4"/>
    <w:lvl w:ilvl="0">
      <w:start w:val="10"/>
      <w:numFmt w:val="decimal"/>
      <w:lvlText w:val="2.3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8">
    <w:nsid w:val="6A2F6CC2"/>
    <w:multiLevelType w:val="singleLevel"/>
    <w:tmpl w:val="3EB89810"/>
    <w:lvl w:ilvl="0">
      <w:start w:val="2"/>
      <w:numFmt w:val="decimal"/>
      <w:lvlText w:val="2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9">
    <w:nsid w:val="754228E9"/>
    <w:multiLevelType w:val="singleLevel"/>
    <w:tmpl w:val="52142E9E"/>
    <w:lvl w:ilvl="0">
      <w:start w:val="1"/>
      <w:numFmt w:val="decimal"/>
      <w:lvlText w:val="2.3.%1. "/>
      <w:legacy w:legacy="1" w:legacySpace="0" w:legacyIndent="283"/>
      <w:lvlJc w:val="left"/>
      <w:pPr>
        <w:ind w:left="184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0">
    <w:nsid w:val="7E817A42"/>
    <w:multiLevelType w:val="singleLevel"/>
    <w:tmpl w:val="ED0CA488"/>
    <w:lvl w:ilvl="0">
      <w:start w:val="10"/>
      <w:numFmt w:val="decimal"/>
      <w:lvlText w:val="3.5.%1. "/>
      <w:legacy w:legacy="1" w:legacySpace="0" w:legacyIndent="283"/>
      <w:lvlJc w:val="left"/>
      <w:pPr>
        <w:ind w:left="992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3"/>
  </w:num>
  <w:num w:numId="3">
    <w:abstractNumId w:val="35"/>
  </w:num>
  <w:num w:numId="4">
    <w:abstractNumId w:val="21"/>
  </w:num>
  <w:num w:numId="5">
    <w:abstractNumId w:val="31"/>
  </w:num>
  <w:num w:numId="6">
    <w:abstractNumId w:val="12"/>
  </w:num>
  <w:num w:numId="7">
    <w:abstractNumId w:val="23"/>
  </w:num>
  <w:num w:numId="8">
    <w:abstractNumId w:val="18"/>
  </w:num>
  <w:num w:numId="9">
    <w:abstractNumId w:val="30"/>
  </w:num>
  <w:num w:numId="10">
    <w:abstractNumId w:val="4"/>
  </w:num>
  <w:num w:numId="11">
    <w:abstractNumId w:val="33"/>
  </w:num>
  <w:num w:numId="12">
    <w:abstractNumId w:val="38"/>
  </w:num>
  <w:num w:numId="13">
    <w:abstractNumId w:val="9"/>
  </w:num>
  <w:num w:numId="14">
    <w:abstractNumId w:val="29"/>
  </w:num>
  <w:num w:numId="15">
    <w:abstractNumId w:val="14"/>
  </w:num>
  <w:num w:numId="16">
    <w:abstractNumId w:val="15"/>
  </w:num>
  <w:num w:numId="17">
    <w:abstractNumId w:val="32"/>
  </w:num>
  <w:num w:numId="18">
    <w:abstractNumId w:val="39"/>
  </w:num>
  <w:num w:numId="19">
    <w:abstractNumId w:val="37"/>
  </w:num>
  <w:num w:numId="20">
    <w:abstractNumId w:val="2"/>
  </w:num>
  <w:num w:numId="21">
    <w:abstractNumId w:val="36"/>
  </w:num>
  <w:num w:numId="22">
    <w:abstractNumId w:val="6"/>
  </w:num>
  <w:num w:numId="23">
    <w:abstractNumId w:val="8"/>
  </w:num>
  <w:num w:numId="24">
    <w:abstractNumId w:val="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2" w:hanging="283"/>
        </w:pPr>
        <w:rPr>
          <w:rFonts w:ascii="Arial" w:hAnsi="Arial" w:cs="Arial" w:hint="default"/>
          <w:b w:val="0"/>
          <w:i w:val="0"/>
          <w:sz w:val="28"/>
          <w:u w:val="none"/>
        </w:rPr>
      </w:lvl>
    </w:lvlOverride>
  </w:num>
  <w:num w:numId="25">
    <w:abstractNumId w:val="24"/>
  </w:num>
  <w:num w:numId="26">
    <w:abstractNumId w:val="26"/>
  </w:num>
  <w:num w:numId="27">
    <w:abstractNumId w:val="20"/>
  </w:num>
  <w:num w:numId="28">
    <w:abstractNumId w:val="20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2" w:hanging="283"/>
        </w:pPr>
        <w:rPr>
          <w:rFonts w:ascii="Arial" w:hAnsi="Arial" w:cs="Arial" w:hint="default"/>
          <w:b w:val="0"/>
          <w:i w:val="0"/>
          <w:sz w:val="28"/>
          <w:u w:val="none"/>
        </w:rPr>
      </w:lvl>
    </w:lvlOverride>
  </w:num>
  <w:num w:numId="29">
    <w:abstractNumId w:val="28"/>
  </w:num>
  <w:num w:numId="30">
    <w:abstractNumId w:val="40"/>
  </w:num>
  <w:num w:numId="31">
    <w:abstractNumId w:val="19"/>
  </w:num>
  <w:num w:numId="32">
    <w:abstractNumId w:val="22"/>
  </w:num>
  <w:num w:numId="33">
    <w:abstractNumId w:val="16"/>
  </w:num>
  <w:num w:numId="34">
    <w:abstractNumId w:val="5"/>
  </w:num>
  <w:num w:numId="35">
    <w:abstractNumId w:val="10"/>
  </w:num>
  <w:num w:numId="36">
    <w:abstractNumId w:val="1"/>
    <w:lvlOverride w:ilvl="0">
      <w:lvl w:ilvl="0">
        <w:numFmt w:val="bullet"/>
        <w:lvlText w:val="-"/>
        <w:legacy w:legacy="1" w:legacySpace="0" w:legacyIndent="193"/>
        <w:lvlJc w:val="left"/>
        <w:rPr>
          <w:rFonts w:ascii="Courier New" w:hAnsi="Courier New" w:hint="default"/>
        </w:rPr>
      </w:lvl>
    </w:lvlOverride>
  </w:num>
  <w:num w:numId="37">
    <w:abstractNumId w:val="25"/>
  </w:num>
  <w:num w:numId="38">
    <w:abstractNumId w:val="3"/>
  </w:num>
  <w:num w:numId="39">
    <w:abstractNumId w:val="17"/>
  </w:num>
  <w:num w:numId="40">
    <w:abstractNumId w:val="0"/>
  </w:num>
  <w:num w:numId="41">
    <w:abstractNumId w:val="34"/>
  </w:num>
  <w:num w:numId="42">
    <w:abstractNumId w:val="7"/>
  </w:num>
  <w:num w:numId="43">
    <w:abstractNumId w:val="27"/>
  </w:num>
  <w:num w:numId="4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75FB"/>
    <w:rsid w:val="003F75F2"/>
    <w:rsid w:val="00A97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aliases w:val="заголовок 1"/>
    <w:basedOn w:val="a0"/>
    <w:next w:val="a0"/>
    <w:link w:val="10"/>
    <w:qFormat/>
    <w:rsid w:val="00A975F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qFormat/>
    <w:rsid w:val="00A975FB"/>
    <w:pPr>
      <w:keepNext/>
      <w:widowControl w:val="0"/>
      <w:shd w:val="clear" w:color="auto" w:fill="FFFFFF"/>
      <w:autoSpaceDE w:val="0"/>
      <w:autoSpaceDN w:val="0"/>
      <w:adjustRightInd w:val="0"/>
      <w:spacing w:before="226" w:after="0" w:line="360" w:lineRule="auto"/>
      <w:ind w:left="14" w:right="979" w:firstLine="706"/>
      <w:jc w:val="center"/>
      <w:outlineLvl w:val="1"/>
    </w:pPr>
    <w:rPr>
      <w:rFonts w:ascii="Times New Roman" w:eastAsia="Calibri" w:hAnsi="Times New Roman" w:cs="Times New Roman"/>
      <w:b/>
      <w:bCs/>
      <w:spacing w:val="-14"/>
      <w:sz w:val="28"/>
      <w:szCs w:val="28"/>
    </w:rPr>
  </w:style>
  <w:style w:type="paragraph" w:styleId="3">
    <w:name w:val="heading 3"/>
    <w:basedOn w:val="a0"/>
    <w:next w:val="a0"/>
    <w:link w:val="30"/>
    <w:qFormat/>
    <w:rsid w:val="00A975FB"/>
    <w:pPr>
      <w:keepNext/>
      <w:widowControl w:val="0"/>
      <w:shd w:val="clear" w:color="auto" w:fill="FFFFFF"/>
      <w:autoSpaceDE w:val="0"/>
      <w:autoSpaceDN w:val="0"/>
      <w:adjustRightInd w:val="0"/>
      <w:spacing w:before="43" w:after="0" w:line="360" w:lineRule="auto"/>
      <w:ind w:left="10" w:firstLine="706"/>
      <w:jc w:val="center"/>
      <w:outlineLvl w:val="2"/>
    </w:pPr>
    <w:rPr>
      <w:rFonts w:ascii="Times New Roman" w:eastAsia="Calibri" w:hAnsi="Times New Roman" w:cs="Times New Roman"/>
      <w:b/>
      <w:bCs/>
      <w:spacing w:val="-13"/>
      <w:sz w:val="28"/>
      <w:szCs w:val="28"/>
    </w:rPr>
  </w:style>
  <w:style w:type="paragraph" w:styleId="4">
    <w:name w:val="heading 4"/>
    <w:basedOn w:val="a0"/>
    <w:next w:val="a0"/>
    <w:link w:val="40"/>
    <w:qFormat/>
    <w:rsid w:val="00A975FB"/>
    <w:pPr>
      <w:keepNext/>
      <w:widowControl w:val="0"/>
      <w:shd w:val="clear" w:color="auto" w:fill="FFFFFF"/>
      <w:autoSpaceDE w:val="0"/>
      <w:autoSpaceDN w:val="0"/>
      <w:adjustRightInd w:val="0"/>
      <w:spacing w:before="29" w:after="509" w:line="360" w:lineRule="auto"/>
      <w:ind w:firstLine="706"/>
      <w:jc w:val="center"/>
      <w:outlineLvl w:val="3"/>
    </w:pPr>
    <w:rPr>
      <w:rFonts w:ascii="Arial" w:eastAsia="Calibri" w:hAnsi="Arial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A975FB"/>
    <w:pPr>
      <w:keepNext/>
      <w:widowControl w:val="0"/>
      <w:shd w:val="clear" w:color="auto" w:fill="FFFFFF"/>
      <w:autoSpaceDE w:val="0"/>
      <w:autoSpaceDN w:val="0"/>
      <w:adjustRightInd w:val="0"/>
      <w:spacing w:before="221" w:after="0" w:line="360" w:lineRule="auto"/>
      <w:ind w:left="14" w:firstLine="706"/>
      <w:jc w:val="center"/>
      <w:outlineLvl w:val="4"/>
    </w:pPr>
    <w:rPr>
      <w:rFonts w:ascii="Times New Roman" w:eastAsia="Calibri" w:hAnsi="Times New Roman" w:cs="Times New Roman"/>
      <w:b/>
      <w:bCs/>
      <w:spacing w:val="-10"/>
      <w:sz w:val="28"/>
      <w:szCs w:val="28"/>
    </w:rPr>
  </w:style>
  <w:style w:type="paragraph" w:styleId="6">
    <w:name w:val="heading 6"/>
    <w:basedOn w:val="a0"/>
    <w:next w:val="a0"/>
    <w:link w:val="60"/>
    <w:qFormat/>
    <w:rsid w:val="00A975FB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</w:rPr>
  </w:style>
  <w:style w:type="paragraph" w:styleId="7">
    <w:name w:val="heading 7"/>
    <w:basedOn w:val="a0"/>
    <w:next w:val="a0"/>
    <w:link w:val="70"/>
    <w:qFormat/>
    <w:rsid w:val="00A975FB"/>
    <w:pPr>
      <w:keepNext/>
      <w:keepLines/>
      <w:spacing w:before="200" w:after="0"/>
      <w:outlineLvl w:val="6"/>
    </w:pPr>
    <w:rPr>
      <w:rFonts w:ascii="Cambria" w:eastAsia="Calibri" w:hAnsi="Cambria" w:cs="Times New Roman"/>
      <w:i/>
      <w:iCs/>
      <w:color w:val="40404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aliases w:val="заголовок 1 Знак"/>
    <w:basedOn w:val="a1"/>
    <w:link w:val="1"/>
    <w:rsid w:val="00A975FB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1"/>
    <w:link w:val="2"/>
    <w:rsid w:val="00A975FB"/>
    <w:rPr>
      <w:rFonts w:ascii="Times New Roman" w:eastAsia="Calibri" w:hAnsi="Times New Roman" w:cs="Times New Roman"/>
      <w:b/>
      <w:bCs/>
      <w:spacing w:val="-14"/>
      <w:sz w:val="28"/>
      <w:szCs w:val="28"/>
      <w:shd w:val="clear" w:color="auto" w:fill="FFFFFF"/>
    </w:rPr>
  </w:style>
  <w:style w:type="character" w:customStyle="1" w:styleId="30">
    <w:name w:val="Заголовок 3 Знак"/>
    <w:basedOn w:val="a1"/>
    <w:link w:val="3"/>
    <w:rsid w:val="00A975FB"/>
    <w:rPr>
      <w:rFonts w:ascii="Times New Roman" w:eastAsia="Calibri" w:hAnsi="Times New Roman" w:cs="Times New Roman"/>
      <w:b/>
      <w:bCs/>
      <w:spacing w:val="-13"/>
      <w:sz w:val="28"/>
      <w:szCs w:val="2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A975FB"/>
    <w:rPr>
      <w:rFonts w:ascii="Arial" w:eastAsia="Calibri" w:hAnsi="Arial" w:cs="Times New Roman"/>
      <w:b/>
      <w:bCs/>
      <w:sz w:val="28"/>
      <w:szCs w:val="28"/>
      <w:shd w:val="clear" w:color="auto" w:fill="FFFFFF"/>
    </w:rPr>
  </w:style>
  <w:style w:type="character" w:customStyle="1" w:styleId="50">
    <w:name w:val="Заголовок 5 Знак"/>
    <w:basedOn w:val="a1"/>
    <w:link w:val="5"/>
    <w:rsid w:val="00A975FB"/>
    <w:rPr>
      <w:rFonts w:ascii="Times New Roman" w:eastAsia="Calibri" w:hAnsi="Times New Roman"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60">
    <w:name w:val="Заголовок 6 Знак"/>
    <w:basedOn w:val="a1"/>
    <w:link w:val="6"/>
    <w:rsid w:val="00A975FB"/>
    <w:rPr>
      <w:rFonts w:ascii="Times New Roman" w:eastAsia="Calibri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rsid w:val="00A975FB"/>
    <w:rPr>
      <w:rFonts w:ascii="Cambria" w:eastAsia="Calibri" w:hAnsi="Cambria" w:cs="Times New Roman"/>
      <w:i/>
      <w:iCs/>
      <w:color w:val="404040"/>
      <w:lang w:eastAsia="en-US"/>
    </w:rPr>
  </w:style>
  <w:style w:type="paragraph" w:styleId="a4">
    <w:name w:val="footer"/>
    <w:basedOn w:val="a0"/>
    <w:link w:val="a5"/>
    <w:rsid w:val="00A975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5">
    <w:name w:val="Нижний колонтитул Знак"/>
    <w:basedOn w:val="a1"/>
    <w:link w:val="a4"/>
    <w:rsid w:val="00A975FB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6">
    <w:name w:val="page number"/>
    <w:basedOn w:val="a1"/>
    <w:rsid w:val="00A975FB"/>
  </w:style>
  <w:style w:type="character" w:customStyle="1" w:styleId="FontStyle35">
    <w:name w:val="Font Style35"/>
    <w:rsid w:val="00A975FB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rsid w:val="00A975FB"/>
    <w:rPr>
      <w:rFonts w:ascii="Segoe UI" w:hAnsi="Segoe UI" w:cs="Segoe UI"/>
      <w:b/>
      <w:bCs/>
      <w:sz w:val="18"/>
      <w:szCs w:val="18"/>
    </w:rPr>
  </w:style>
  <w:style w:type="paragraph" w:styleId="a7">
    <w:name w:val="Normal (Web)"/>
    <w:basedOn w:val="a0"/>
    <w:rsid w:val="00A975F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val="uk-UA" w:eastAsia="uk-UA"/>
    </w:rPr>
  </w:style>
  <w:style w:type="character" w:customStyle="1" w:styleId="a8">
    <w:name w:val="Основной текст_"/>
    <w:basedOn w:val="a1"/>
    <w:link w:val="21"/>
    <w:locked/>
    <w:rsid w:val="00A975FB"/>
    <w:rPr>
      <w:shd w:val="clear" w:color="auto" w:fill="FFFFFF"/>
    </w:rPr>
  </w:style>
  <w:style w:type="paragraph" w:customStyle="1" w:styleId="21">
    <w:name w:val="Основной текст2"/>
    <w:basedOn w:val="a0"/>
    <w:link w:val="a8"/>
    <w:rsid w:val="00A975FB"/>
    <w:pPr>
      <w:shd w:val="clear" w:color="auto" w:fill="FFFFFF"/>
      <w:spacing w:before="180" w:after="780" w:line="240" w:lineRule="atLeast"/>
      <w:jc w:val="both"/>
    </w:pPr>
    <w:rPr>
      <w:shd w:val="clear" w:color="auto" w:fill="FFFFFF"/>
    </w:rPr>
  </w:style>
  <w:style w:type="paragraph" w:styleId="a9">
    <w:name w:val="header"/>
    <w:basedOn w:val="a0"/>
    <w:link w:val="aa"/>
    <w:rsid w:val="00A975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a">
    <w:name w:val="Верхний колонтитул Знак"/>
    <w:basedOn w:val="a1"/>
    <w:link w:val="a9"/>
    <w:rsid w:val="00A975FB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ListParagraph">
    <w:name w:val="List Paragraph"/>
    <w:basedOn w:val="a0"/>
    <w:rsid w:val="00A975FB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 w:eastAsia="en-US"/>
    </w:rPr>
  </w:style>
  <w:style w:type="character" w:styleId="ab">
    <w:name w:val="Hyperlink"/>
    <w:basedOn w:val="a1"/>
    <w:rsid w:val="00A975FB"/>
    <w:rPr>
      <w:color w:val="0000FF"/>
      <w:u w:val="single"/>
    </w:rPr>
  </w:style>
  <w:style w:type="paragraph" w:customStyle="1" w:styleId="Default">
    <w:name w:val="Default"/>
    <w:rsid w:val="00A975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3">
    <w:name w:val=" Знак Знак13"/>
    <w:basedOn w:val="a1"/>
    <w:locked/>
    <w:rsid w:val="00A975FB"/>
    <w:rPr>
      <w:rFonts w:ascii="Times New Roman" w:hAnsi="Times New Roman" w:cs="Times New Roman"/>
      <w:b/>
      <w:bCs/>
      <w:spacing w:val="-10"/>
      <w:sz w:val="28"/>
      <w:szCs w:val="28"/>
      <w:shd w:val="clear" w:color="auto" w:fill="FFFFFF"/>
      <w:lang w:eastAsia="ru-RU"/>
    </w:rPr>
  </w:style>
  <w:style w:type="table" w:styleId="ac">
    <w:name w:val="Table Grid"/>
    <w:basedOn w:val="a2"/>
    <w:rsid w:val="00A975F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pt">
    <w:name w:val="Обычный + 14 pt"/>
    <w:aliases w:val="курсив,уплотненный на  0.2 пт"/>
    <w:basedOn w:val="a0"/>
    <w:rsid w:val="00A975FB"/>
    <w:pPr>
      <w:widowControl w:val="0"/>
      <w:shd w:val="clear" w:color="auto" w:fill="FFFFFF"/>
      <w:autoSpaceDE w:val="0"/>
      <w:autoSpaceDN w:val="0"/>
      <w:adjustRightInd w:val="0"/>
      <w:spacing w:before="67" w:after="0" w:line="360" w:lineRule="auto"/>
      <w:ind w:left="10" w:right="34" w:firstLine="706"/>
      <w:jc w:val="both"/>
    </w:pPr>
    <w:rPr>
      <w:rFonts w:ascii="Times New Roman" w:eastAsia="Calibri" w:hAnsi="Times New Roman" w:cs="Times New Roman"/>
      <w:i/>
      <w:iCs/>
      <w:spacing w:val="-4"/>
      <w:sz w:val="28"/>
      <w:szCs w:val="28"/>
    </w:rPr>
  </w:style>
  <w:style w:type="paragraph" w:styleId="ad">
    <w:name w:val="caption"/>
    <w:basedOn w:val="a0"/>
    <w:next w:val="a0"/>
    <w:qFormat/>
    <w:rsid w:val="00A975FB"/>
    <w:pPr>
      <w:widowControl w:val="0"/>
      <w:shd w:val="clear" w:color="auto" w:fill="FFFFFF"/>
      <w:tabs>
        <w:tab w:val="left" w:pos="3240"/>
      </w:tabs>
      <w:autoSpaceDE w:val="0"/>
      <w:autoSpaceDN w:val="0"/>
      <w:adjustRightInd w:val="0"/>
      <w:spacing w:before="125" w:after="0" w:line="36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paragraph" w:styleId="22">
    <w:name w:val="Body Text Indent 2"/>
    <w:basedOn w:val="a0"/>
    <w:link w:val="23"/>
    <w:rsid w:val="00A975FB"/>
    <w:pPr>
      <w:widowControl w:val="0"/>
      <w:shd w:val="clear" w:color="auto" w:fill="FFFFFF"/>
      <w:autoSpaceDE w:val="0"/>
      <w:autoSpaceDN w:val="0"/>
      <w:adjustRightInd w:val="0"/>
      <w:spacing w:before="365" w:after="0" w:line="360" w:lineRule="auto"/>
      <w:ind w:left="58" w:firstLine="706"/>
      <w:jc w:val="center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customStyle="1" w:styleId="23">
    <w:name w:val="Основной текст с отступом 2 Знак"/>
    <w:basedOn w:val="a1"/>
    <w:link w:val="22"/>
    <w:rsid w:val="00A975FB"/>
    <w:rPr>
      <w:rFonts w:ascii="Times New Roman" w:eastAsia="Calibri" w:hAnsi="Times New Roman" w:cs="Times New Roman"/>
      <w:b/>
      <w:bCs/>
      <w:sz w:val="32"/>
      <w:szCs w:val="32"/>
      <w:shd w:val="clear" w:color="auto" w:fill="FFFFFF"/>
    </w:rPr>
  </w:style>
  <w:style w:type="paragraph" w:styleId="ae">
    <w:name w:val="Body Text Indent"/>
    <w:basedOn w:val="a0"/>
    <w:link w:val="af"/>
    <w:rsid w:val="00A975FB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1"/>
    <w:link w:val="ae"/>
    <w:rsid w:val="00A975FB"/>
    <w:rPr>
      <w:rFonts w:ascii="Times New Roman" w:eastAsia="Calibri" w:hAnsi="Times New Roman" w:cs="Times New Roman"/>
      <w:sz w:val="24"/>
      <w:szCs w:val="24"/>
    </w:rPr>
  </w:style>
  <w:style w:type="paragraph" w:styleId="af0">
    <w:name w:val="Title"/>
    <w:basedOn w:val="a0"/>
    <w:link w:val="af1"/>
    <w:qFormat/>
    <w:rsid w:val="00A975FB"/>
    <w:pPr>
      <w:widowControl w:val="0"/>
      <w:shd w:val="clear" w:color="auto" w:fill="FFFFFF"/>
      <w:autoSpaceDE w:val="0"/>
      <w:autoSpaceDN w:val="0"/>
      <w:adjustRightInd w:val="0"/>
      <w:spacing w:before="34" w:after="0" w:line="240" w:lineRule="auto"/>
      <w:ind w:left="19"/>
      <w:jc w:val="center"/>
    </w:pPr>
    <w:rPr>
      <w:rFonts w:ascii="Arial" w:eastAsia="Calibri" w:hAnsi="Arial" w:cs="Times New Roman"/>
      <w:b/>
      <w:bCs/>
      <w:spacing w:val="-5"/>
      <w:sz w:val="32"/>
      <w:szCs w:val="32"/>
    </w:rPr>
  </w:style>
  <w:style w:type="character" w:customStyle="1" w:styleId="af1">
    <w:name w:val="Название Знак"/>
    <w:basedOn w:val="a1"/>
    <w:link w:val="af0"/>
    <w:rsid w:val="00A975FB"/>
    <w:rPr>
      <w:rFonts w:ascii="Arial" w:eastAsia="Calibri" w:hAnsi="Arial" w:cs="Times New Roman"/>
      <w:b/>
      <w:bCs/>
      <w:spacing w:val="-5"/>
      <w:sz w:val="32"/>
      <w:szCs w:val="32"/>
      <w:shd w:val="clear" w:color="auto" w:fill="FFFFFF"/>
    </w:rPr>
  </w:style>
  <w:style w:type="character" w:styleId="af2">
    <w:name w:val="Strong"/>
    <w:basedOn w:val="a1"/>
    <w:qFormat/>
    <w:rsid w:val="00A975FB"/>
    <w:rPr>
      <w:rFonts w:cs="Times New Roman"/>
      <w:b/>
      <w:bCs/>
    </w:rPr>
  </w:style>
  <w:style w:type="paragraph" w:styleId="af3">
    <w:name w:val="Body Text"/>
    <w:basedOn w:val="a0"/>
    <w:link w:val="af4"/>
    <w:rsid w:val="00A975FB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4">
    <w:name w:val="Основной текст Знак"/>
    <w:basedOn w:val="a1"/>
    <w:link w:val="af3"/>
    <w:rsid w:val="00A975FB"/>
    <w:rPr>
      <w:rFonts w:ascii="Times New Roman" w:eastAsia="Calibri" w:hAnsi="Times New Roman" w:cs="Times New Roman"/>
      <w:sz w:val="24"/>
      <w:szCs w:val="24"/>
    </w:rPr>
  </w:style>
  <w:style w:type="paragraph" w:styleId="af5">
    <w:name w:val="Balloon Text"/>
    <w:basedOn w:val="a0"/>
    <w:link w:val="af6"/>
    <w:semiHidden/>
    <w:rsid w:val="00A975FB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1"/>
    <w:link w:val="af5"/>
    <w:semiHidden/>
    <w:rsid w:val="00A975FB"/>
    <w:rPr>
      <w:rFonts w:ascii="Tahoma" w:eastAsia="Times New Roman" w:hAnsi="Tahoma" w:cs="Tahoma"/>
      <w:sz w:val="16"/>
      <w:szCs w:val="16"/>
      <w:lang w:eastAsia="en-US"/>
    </w:rPr>
  </w:style>
  <w:style w:type="paragraph" w:styleId="24">
    <w:name w:val="Body Text 2"/>
    <w:basedOn w:val="a0"/>
    <w:link w:val="25"/>
    <w:semiHidden/>
    <w:rsid w:val="00A975FB"/>
    <w:pPr>
      <w:spacing w:after="120" w:line="480" w:lineRule="auto"/>
    </w:pPr>
    <w:rPr>
      <w:rFonts w:ascii="Calibri" w:eastAsia="Times New Roman" w:hAnsi="Calibri" w:cs="Times New Roman"/>
      <w:lang w:eastAsia="en-US"/>
    </w:rPr>
  </w:style>
  <w:style w:type="character" w:customStyle="1" w:styleId="25">
    <w:name w:val="Основной текст 2 Знак"/>
    <w:basedOn w:val="a1"/>
    <w:link w:val="24"/>
    <w:semiHidden/>
    <w:rsid w:val="00A975FB"/>
    <w:rPr>
      <w:rFonts w:ascii="Calibri" w:eastAsia="Times New Roman" w:hAnsi="Calibri" w:cs="Times New Roman"/>
      <w:lang w:eastAsia="en-US"/>
    </w:rPr>
  </w:style>
  <w:style w:type="paragraph" w:styleId="a">
    <w:name w:val="List Bullet"/>
    <w:basedOn w:val="a0"/>
    <w:rsid w:val="00A975FB"/>
    <w:pPr>
      <w:numPr>
        <w:numId w:val="40"/>
      </w:numPr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8.bin"/><Relationship Id="rId39" Type="http://schemas.openxmlformats.org/officeDocument/2006/relationships/image" Target="media/image22.png"/><Relationship Id="rId21" Type="http://schemas.openxmlformats.org/officeDocument/2006/relationships/image" Target="media/image12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6.bin"/><Relationship Id="rId50" Type="http://schemas.openxmlformats.org/officeDocument/2006/relationships/image" Target="media/image31.png"/><Relationship Id="rId55" Type="http://schemas.openxmlformats.org/officeDocument/2006/relationships/image" Target="media/image34.wmf"/><Relationship Id="rId63" Type="http://schemas.openxmlformats.org/officeDocument/2006/relationships/image" Target="media/image39.wmf"/><Relationship Id="rId68" Type="http://schemas.openxmlformats.org/officeDocument/2006/relationships/fontTable" Target="fontTable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1.wmf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3" Type="http://schemas.openxmlformats.org/officeDocument/2006/relationships/image" Target="media/image33.w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3.bin"/><Relationship Id="rId5" Type="http://schemas.openxmlformats.org/officeDocument/2006/relationships/image" Target="media/image2.wmf"/><Relationship Id="rId15" Type="http://schemas.openxmlformats.org/officeDocument/2006/relationships/image" Target="media/image8.wmf"/><Relationship Id="rId23" Type="http://schemas.openxmlformats.org/officeDocument/2006/relationships/image" Target="media/image14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30.png"/><Relationship Id="rId57" Type="http://schemas.openxmlformats.org/officeDocument/2006/relationships/image" Target="media/image35.wmf"/><Relationship Id="rId61" Type="http://schemas.openxmlformats.org/officeDocument/2006/relationships/oleObject" Target="embeddings/oleObject21.bin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31" Type="http://schemas.openxmlformats.org/officeDocument/2006/relationships/image" Target="media/image18.wmf"/><Relationship Id="rId44" Type="http://schemas.openxmlformats.org/officeDocument/2006/relationships/image" Target="media/image26.jpeg"/><Relationship Id="rId52" Type="http://schemas.openxmlformats.org/officeDocument/2006/relationships/oleObject" Target="embeddings/oleObject17.bin"/><Relationship Id="rId60" Type="http://schemas.openxmlformats.org/officeDocument/2006/relationships/image" Target="media/image37.wmf"/><Relationship Id="rId65" Type="http://schemas.openxmlformats.org/officeDocument/2006/relationships/image" Target="media/image40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wmf"/><Relationship Id="rId30" Type="http://schemas.openxmlformats.org/officeDocument/2006/relationships/oleObject" Target="embeddings/oleObject10.bin"/><Relationship Id="rId35" Type="http://schemas.openxmlformats.org/officeDocument/2006/relationships/image" Target="media/image20.wmf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2.bin"/><Relationship Id="rId69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32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8.wmf"/><Relationship Id="rId59" Type="http://schemas.openxmlformats.org/officeDocument/2006/relationships/image" Target="media/image36.jpeg"/><Relationship Id="rId67" Type="http://schemas.openxmlformats.org/officeDocument/2006/relationships/image" Target="media/image41.png"/><Relationship Id="rId20" Type="http://schemas.openxmlformats.org/officeDocument/2006/relationships/image" Target="media/image11.png"/><Relationship Id="rId41" Type="http://schemas.openxmlformats.org/officeDocument/2006/relationships/image" Target="media/image24.wmf"/><Relationship Id="rId54" Type="http://schemas.openxmlformats.org/officeDocument/2006/relationships/oleObject" Target="embeddings/oleObject18.bin"/><Relationship Id="rId62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5060</Words>
  <Characters>28842</Characters>
  <Application>Microsoft Office Word</Application>
  <DocSecurity>0</DocSecurity>
  <Lines>240</Lines>
  <Paragraphs>67</Paragraphs>
  <ScaleCrop>false</ScaleCrop>
  <Company>USN Team</Company>
  <LinksUpToDate>false</LinksUpToDate>
  <CharactersWithSpaces>33835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2021-07-22T06:18:00Z</dcterms:created>
  <dcterms:modified xsi:type="dcterms:W3CDTF">2021-07-22T06:25:00Z</dcterms:modified>
</cp:coreProperties>
</file>