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3E" w:rsidRDefault="0091575B" w:rsidP="006E2D3E">
      <w:pPr>
        <w:shd w:val="clear" w:color="auto" w:fill="FEFEFE"/>
        <w:spacing w:after="0" w:line="240" w:lineRule="auto"/>
        <w:ind w:right="1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ТЕМА№5</w:t>
      </w:r>
      <w:bookmarkStart w:id="0" w:name="_GoBack"/>
      <w:bookmarkEnd w:id="0"/>
      <w:r w:rsidR="006E2D3E">
        <w:rPr>
          <w:rFonts w:ascii="Times New Roman" w:hAnsi="Times New Roman"/>
          <w:b/>
          <w:sz w:val="28"/>
          <w:szCs w:val="28"/>
          <w:lang w:val="uk-UA"/>
        </w:rPr>
        <w:t>. ЛІСОГОСПОДАРСЬКА РЕКУЛЬТИВАЦІЯ ПОРУШЕНИХ ЗЕМЕЛЬ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Ознайомитись з </w:t>
      </w:r>
      <w:r>
        <w:rPr>
          <w:rFonts w:ascii="Times New Roman" w:hAnsi="Times New Roman"/>
          <w:sz w:val="28"/>
          <w:szCs w:val="28"/>
          <w:lang w:val="uk-UA"/>
        </w:rPr>
        <w:t>лісогосподарським напрямом рекультивації порушених земель.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Вивчити п</w:t>
      </w:r>
      <w:r>
        <w:rPr>
          <w:rFonts w:ascii="Times New Roman" w:hAnsi="Times New Roman"/>
          <w:sz w:val="28"/>
          <w:szCs w:val="28"/>
          <w:lang w:val="uk-UA"/>
        </w:rPr>
        <w:t xml:space="preserve">ринципи підбору лісових культур для вирощування на рекультивованих землях.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D3E" w:rsidRDefault="006E2D3E" w:rsidP="006E2D3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ТЕОРЕТИЧНІ ВІДОМОСТІ</w:t>
      </w:r>
    </w:p>
    <w:p w:rsidR="006E2D3E" w:rsidRPr="0091575B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Лісова рекультивація земель передбачає створення на відпрацьованих відвалах розкривних порід лісових насаджень різного типу. Переважно вона поширена в лісовій зоні під час освоєння порушених земель (відвалів, кар'єрів та ін.) незначної площі, складених придатними і малопридатними породами. В останньому випадку лісопосадки створюються після меліорації порід щодо поліпшення фізичних і хімічних властивостей та спеціальними агротехнічними заходами. Ліси протиерозійного, ґрунтозахисного призначення за необхідності створюються в різних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грунтово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-кліматичних зонах. На неглибоких зниженнях відвалів, крутих схилах, відкосах, необхідно створювати ремізні насадження із дерев та чагарників, які служать резерватом для тварин і птахів.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несприятливих умовах рекомендується створювати меліоративний тип лісових культур. До складу деревних порід вводяться такі насадження дерев-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азотонакопичувачів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вільха чорна і сіра, акація жовта і біла, рокитник, обліпиха та ін. Підбираючи асортимент деревних і чагарникових порід, необхідно враховувати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лісопридатність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розкривних порід, цільове призначення лісових культур рекультивованої ділянки, біологічні властивості рослин.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формування економічно й екологічно стійких насаджень треба створювати змішані типи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лісокультур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участі головних порід до 90 %, другорядних до 20 %, чагарників до 20 %. Співвідношення може змінюватися залежно від призначення лісокультури.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 лісах, що створюються на порушених землях, необхідно передбачити протипожежні заходи, особливо в лісонасадженнях поблизу населених пунктів або поряд із сільськогосподарськими угіддями. У масивних насадженнях рекомендується створення смуг з посівом трав'янистих рослин.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Принципи підбору лісових культур для вирощування на рекультивованих землях. Підбираючи лісові культури для вирощування на рекультивованих землях, насамперед треба врахувати такі їх біологічні особливості: довговічність, вибагливість до родючості та вологості рекультивованих порід, ставлення до їх кислотності І засоленості, тіньовитривалість, ставлення до тепла і температурного режиму, здатність переносити тимчасове затоплення водою тощо.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Довговічність є генетичне обумовлено ознакою деревної породи, адже вона значною мірою залежить 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>рунтово-кліматичних умов. Зокрема, за даними М.І. Калініна (1994), акація біла у степовій зоні за сприятливих умов живе 70-80 років, у Сухому Степу 30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40 років, а на засолених пісках 25-30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років. Ясен зелений на звичайних чорноземах росте до 70-80 років, на південних чорноземах 35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40 років.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степових умовах ріст і розвиток деревних порід відбувається дещо інакше, ніж у лісовій. У Сухому Степу істотно прискорюється процес розвитку, значно швидше настає старіння деревних органів, кульмінація приросту, як правило, спостерігається у 10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15 років, зменшується довговічність дерева. Довговічність кожної деревної породи прямо залежить від того, наскільки її біологічні особливості забезпечують життєздатність організму у несприятливих умовах. Одні породи зберігають життєздатність в умовах низьких температур, а інші вимерзають. Одні породи здатні витримувати значну сухість повітря і ґрунту, а інші за таких умов гинуть.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офіційними даними (М.І. Калінін, 1994), довговічність основних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лісоутворюючих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порід в умовах України характеризуються такими цифрами: 500 років і більше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дуб звичайний, модрина європейська, липа широколиста; 300-500 років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бук лісовий, липа дрібнолиста, сосна звичайна; близько 300 років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ялина звичайна, ясен звичайний, в’яз, граб. Порівняно низька довговічність властива осиці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100-120 років, березі повислій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120-150 років,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вільсі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чорній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200 років.</w:t>
      </w:r>
    </w:p>
    <w:p w:rsidR="006E2D3E" w:rsidRDefault="006E2D3E" w:rsidP="006E2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Важливою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лісобіологічною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властивістю деревних порід є їх вибагливість до родючості ґрунту. За цією ознакою дерева і чагарники поділяються на три групи: оліготрофи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породи, які не вибагливі до родючості ґрунту і добре ростуть на неродючих ґрунтах;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мезотрофи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породи, які добре ростуть на ґрунтах середнього рівня родючості ґрунтів;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мегатрофи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еутрофи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породи, які потребують багатих ґрунтів.</w:t>
      </w:r>
    </w:p>
    <w:p w:rsidR="006E2D3E" w:rsidRDefault="006E2D3E" w:rsidP="006E2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Методика  виконання  завдання.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плані  земельної  території (отриманої  студентом  відповідно  до  індивідуального  завдання)  показано контури  5  ділянок,  де  раніше  були  порушені  ґрунти.  У  цей  період  на  них проводиться  технічна  рекультивація,  після  якої  необхідно  виконати лісогосподарську  рекультивацію.  А  це  означає,  що  на  даних  ділянках необхідно  запроектувати  створення  лісонасаджень  із  відповідним  способом підготовки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рунту.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ділянці  1,  де  поверхня  землі  вирівняна,  проводять  суцільну підготовку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ґ</w:t>
      </w:r>
      <w:r>
        <w:rPr>
          <w:rFonts w:ascii="Times New Roman" w:hAnsi="Times New Roman"/>
          <w:sz w:val="28"/>
          <w:szCs w:val="28"/>
          <w:lang w:val="uk-UA"/>
        </w:rPr>
        <w:t xml:space="preserve">рунту (оранка).  Після  цього  висаджують  сіянці  або  саджанці лісових порід.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Ділянка  2  характерна  тим,  що  ґрунт  обробляють  смугами  певної ширини  та  через  відповідну  відстань  між   ними.  У  смузі  передбачається посадка молодих рослин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деревно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-чагарникових порід.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 ділянці  3  обробіток  ґрунту  виконують  вручну,  площадками відповідних  розмірів,  у  які  висаджують  садивний  матеріал  листяних  чи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хвойних порід.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Ділянка  4  відрізняється  підготовкою  ґрунту  терасами  за  допомогою бульдозера, певної ширини. На таких терасах створюють лі сові культури.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  ділянці  5  при  обробітку  ґрунту  проорюють  борозни,  в  яких  садять саджанці або сіянці деревних і кущових порід.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Вихідні дані для виконання завдання</w:t>
      </w: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ділянці  1  після  суцільної  оранки  ґрунту  висаджують  садивний матеріал  деревних  і  чагарникових  порід  за  схемою,  наведеною  в  таблиці  9. Тут головні, супутні, чагарникові породи складають приблизно по33%.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ділянці  2  ширина  оброблених  та  необроблених  смуг  вказана  у таблиці.  У  кожній  з  них  створюють  по  2  ряди  лісових  порід,  де  віддаль  між ними  в  ряду  складає  0,8  м.  Співвідношення  порід  за  групами  таке  ж,  як  і   на ділянці 1.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Ділянка  3 включає  підготовку ґрунту  площадками, розміри  яких задані у  варіантах.  Площа  оброблених площадок займає 30% від загальної.  У кожну з них садять по 5 сіянців чи саджанців лісових порід.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ділянці  4  ширина  зроблених  терас  та  необроблених  смуг  між   ними записана  у  вихідних  даних.  На  кожній  терасі  висаджують  1  ряд  молодих рослин,  віддаль  між  якими  в  ряду  0,7  м.  Кількість  садивного  матеріалу  у кожній із  трьох груп – по33%. </w:t>
      </w:r>
    </w:p>
    <w:p w:rsidR="006E2D3E" w:rsidRDefault="006E2D3E" w:rsidP="006E2D3E">
      <w:pPr>
        <w:shd w:val="clear" w:color="auto" w:fill="FEFEFE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ділянці 5 ширина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борозен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і віддаль  між ними вказана  у варіантах. У кожній  борозні  проектується  1  ряд  сіянців (саджанців)  лісових  порід,  де віддаль  між  ними  в  ряду  0,6  м.  У  схемі  змішування  порід  зберігається  та пропорція, яка запланована  на попередніх ділянках. </w:t>
      </w:r>
    </w:p>
    <w:p w:rsidR="006E2D3E" w:rsidRDefault="006E2D3E" w:rsidP="006E2D3E">
      <w:pPr>
        <w:widowControl w:val="0"/>
        <w:autoSpaceDE w:val="0"/>
        <w:autoSpaceDN w:val="0"/>
        <w:adjustRightInd w:val="0"/>
        <w:spacing w:before="240" w:after="120" w:line="252" w:lineRule="auto"/>
        <w:ind w:left="2124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Завдання до лабораторної роботи</w:t>
      </w:r>
    </w:p>
    <w:p w:rsidR="006E2D3E" w:rsidRDefault="006E2D3E" w:rsidP="006E2D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 1.  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  площу  кожної  з  п’яти  земельних  ділянок,  загальну довжину  рядів  у  них  та  оброблювану  площу (смуг,  площадок,  терас,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борозен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кількість площадок на ділянці 3. 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/>
          <w:sz w:val="28"/>
          <w:szCs w:val="28"/>
          <w:lang w:val="uk-UA"/>
        </w:rPr>
        <w:t xml:space="preserve">2.  Підібрати  і  записати  склад  лісових  порід  на  кожній  ділянці  та знайти кількість посадкових місць – загальну і за породами. 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/>
          <w:sz w:val="28"/>
          <w:szCs w:val="28"/>
          <w:lang w:val="uk-UA"/>
        </w:rPr>
        <w:t xml:space="preserve">3.  Всі записи і розрахунки провести  у робочих зошитах. 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Запроектувати розміщення лісових смуг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осушувально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-зволожувальної мережі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Контрольні питання: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Поясніть, у чому полягає лісогосподарський напрям рекультивації земель.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роботи, які проводять при лісогосподарському напряму рекультивації.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є  категорії лісових насаджень на порушених землях та їх призначення?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конструкції лісових смуг.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призначення штучних лісових угруповань?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Чому виникла необхідність проведення лісової рекультивації?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Назвіть основну тенденцію у виборі асортименту деревних рослин для лісової рекультивації.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Які функції виконують декоративні угруповання?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треба враховувати під час створення садів і парків?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таке довговічність, як ознака деревної породи?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таке вибагливість, як властивість деревної породи?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 поділяються деревні породи за реагуванням на вологість ґрунту?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 поділяються деревні породи за реагуванням на кислотність ґрунту?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 поділяються деревні породи за групами солевитривалості?</w:t>
      </w:r>
    </w:p>
    <w:p w:rsidR="006E2D3E" w:rsidRDefault="006E2D3E" w:rsidP="006E2D3E">
      <w:pPr>
        <w:numPr>
          <w:ilvl w:val="0"/>
          <w:numId w:val="1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таке газостійкість рослин?</w:t>
      </w:r>
    </w:p>
    <w:p w:rsidR="006E2D3E" w:rsidRDefault="006E2D3E" w:rsidP="006E2D3E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9.</w:t>
      </w: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Вихідні дані для виконання завдання 13 з лісогосподарської рекультивації земель</w:t>
      </w:r>
    </w:p>
    <w:p w:rsidR="006E2D3E" w:rsidRDefault="006E2D3E" w:rsidP="006E2D3E">
      <w:pPr>
        <w:shd w:val="clear" w:color="auto" w:fill="FEFEFE"/>
        <w:spacing w:after="0" w:line="240" w:lineRule="auto"/>
        <w:ind w:left="1440" w:right="15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75"/>
        <w:gridCol w:w="1560"/>
        <w:gridCol w:w="1701"/>
        <w:gridCol w:w="1353"/>
        <w:gridCol w:w="1340"/>
        <w:gridCol w:w="1524"/>
      </w:tblGrid>
      <w:tr w:rsidR="006E2D3E" w:rsidTr="006E2D3E">
        <w:trPr>
          <w:trHeight w:val="2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варіанту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left="1269" w:right="1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Маштаб</w:t>
            </w:r>
            <w:proofErr w:type="spellEnd"/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 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2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 3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Ділянка 4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Ділянка  5</w:t>
            </w:r>
          </w:p>
        </w:tc>
      </w:tr>
      <w:tr w:rsidR="006E2D3E" w:rsidTr="006E2D3E">
        <w:trPr>
          <w:trHeight w:val="158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3E" w:rsidRDefault="006E2D3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3E" w:rsidRDefault="006E2D3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схема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ширина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оброблених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необроб-лених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смуг, 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через 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розміри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площадок, 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ширина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терас  і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необроблених смуг, 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ширина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необроблених смуг</w:t>
            </w:r>
          </w:p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 ними, м</w:t>
            </w:r>
          </w:p>
        </w:tc>
      </w:tr>
      <w:tr w:rsidR="006E2D3E" w:rsidTr="006E2D3E">
        <w:trPr>
          <w:trHeight w:val="2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3,2 х0,6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 х4,1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0,25х1,5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3,3 х0,9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0,25х1,9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 х0,9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 х4,3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0,30х1,5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 х0,7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 х5,0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0,35х1,6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3,3 х0,5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5,3;6,0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0,25х1,7</w:t>
            </w:r>
          </w:p>
        </w:tc>
      </w:tr>
      <w:tr w:rsidR="006E2D3E" w:rsidTr="006E2D3E">
        <w:trPr>
          <w:trHeight w:val="14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3,3 х1,0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5,4;5,3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 х4,2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0,25х1,6</w:t>
            </w:r>
          </w:p>
        </w:tc>
      </w:tr>
      <w:tr w:rsidR="006E2D3E" w:rsidTr="006E2D3E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 х0,9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0,30х1,9</w:t>
            </w:r>
          </w:p>
        </w:tc>
      </w:tr>
      <w:tr w:rsidR="006E2D3E" w:rsidTr="006E2D3E">
        <w:trPr>
          <w:trHeight w:val="1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 х0,5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 х4,9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0,35х1,8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3,2 х0,7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0,20х1,6</w:t>
            </w:r>
          </w:p>
        </w:tc>
      </w:tr>
      <w:tr w:rsidR="006E2D3E" w:rsidTr="006E2D3E">
        <w:trPr>
          <w:trHeight w:val="1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 х0,6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0,25х1,8</w:t>
            </w:r>
          </w:p>
        </w:tc>
      </w:tr>
      <w:tr w:rsidR="006E2D3E" w:rsidTr="006E2D3E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 х1,0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5,4;5,1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 х4,3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0,30х1,7</w:t>
            </w:r>
          </w:p>
        </w:tc>
      </w:tr>
      <w:tr w:rsidR="006E2D3E" w:rsidTr="006E2D3E">
        <w:trPr>
          <w:trHeight w:val="1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3,3 х0,6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5,4;5,5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0,35х1,5</w:t>
            </w:r>
          </w:p>
        </w:tc>
      </w:tr>
      <w:tr w:rsidR="006E2D3E" w:rsidTr="006E2D3E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 х1,0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2,0х3,2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0,20х1,9</w:t>
            </w:r>
          </w:p>
        </w:tc>
      </w:tr>
      <w:tr w:rsidR="006E2D3E" w:rsidTr="006E2D3E">
        <w:trPr>
          <w:trHeight w:val="1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 х0,8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 х4,4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0,25х1,6</w:t>
            </w:r>
          </w:p>
        </w:tc>
      </w:tr>
      <w:tr w:rsidR="006E2D3E" w:rsidTr="006E2D3E">
        <w:trPr>
          <w:trHeight w:val="1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3,4 х0,7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5,4;5,2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0,30х1,7</w:t>
            </w:r>
          </w:p>
        </w:tc>
      </w:tr>
      <w:tr w:rsidR="006E2D3E" w:rsidTr="006E2D3E">
        <w:trPr>
          <w:trHeight w:val="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4,1 х4,4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0,35х1,6</w:t>
            </w:r>
          </w:p>
        </w:tc>
      </w:tr>
      <w:tr w:rsidR="006E2D3E" w:rsidTr="006E2D3E">
        <w:trPr>
          <w:trHeight w:val="1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2,0х2,4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0,20х1,8</w:t>
            </w:r>
          </w:p>
        </w:tc>
      </w:tr>
      <w:tr w:rsidR="006E2D3E" w:rsidTr="006E2D3E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3,2 х0,8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5,4;5,3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3,9 х4,8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0,25х1,9</w:t>
            </w:r>
          </w:p>
        </w:tc>
      </w:tr>
      <w:tr w:rsidR="006E2D3E" w:rsidTr="006E2D3E">
        <w:trPr>
          <w:trHeight w:val="1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 х0,6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5,0;5,4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3,8 х4,8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2,1х2,6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0,30х1,5</w:t>
            </w:r>
          </w:p>
        </w:tc>
      </w:tr>
      <w:tr w:rsidR="006E2D3E" w:rsidTr="006E2D3E">
        <w:trPr>
          <w:trHeight w:val="1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1: 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 х0,9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5,3;5,2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3,7 х4,3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2,2х2,1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3E" w:rsidRDefault="006E2D3E">
            <w:pPr>
              <w:shd w:val="clear" w:color="auto" w:fill="FEFEFE"/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0,35х1,4</w:t>
            </w:r>
          </w:p>
        </w:tc>
      </w:tr>
    </w:tbl>
    <w:p w:rsidR="006E2D3E" w:rsidRDefault="006E2D3E" w:rsidP="006E2D3E">
      <w:pPr>
        <w:widowControl w:val="0"/>
        <w:shd w:val="clear" w:color="auto" w:fill="FFFFFF"/>
        <w:spacing w:after="0" w:line="240" w:lineRule="auto"/>
        <w:jc w:val="center"/>
        <w:rPr>
          <w:b/>
          <w:lang w:val="uk-UA"/>
        </w:rPr>
      </w:pPr>
    </w:p>
    <w:p w:rsidR="006E2D3E" w:rsidRDefault="006E2D3E" w:rsidP="006E2D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7813" w:rsidRDefault="00C87813"/>
    <w:sectPr w:rsidR="00C8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905F2"/>
    <w:multiLevelType w:val="hybridMultilevel"/>
    <w:tmpl w:val="A8F2EA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D"/>
    <w:rsid w:val="00232B0D"/>
    <w:rsid w:val="006E2D3E"/>
    <w:rsid w:val="0091575B"/>
    <w:rsid w:val="00C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75CA"/>
  <w15:chartTrackingRefBased/>
  <w15:docId w15:val="{DC68416B-75F4-4354-A00E-B4305E3F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8237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2020-09-07T10:03:00Z</dcterms:created>
  <dcterms:modified xsi:type="dcterms:W3CDTF">2020-09-07T10:04:00Z</dcterms:modified>
</cp:coreProperties>
</file>