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06E" w:rsidRPr="0001206E" w:rsidRDefault="0001206E" w:rsidP="0001206E">
      <w:pPr>
        <w:spacing w:line="360" w:lineRule="auto"/>
        <w:jc w:val="both"/>
        <w:rPr>
          <w:rFonts w:cs="Times New Roman"/>
          <w:b/>
          <w:sz w:val="28"/>
          <w:szCs w:val="28"/>
        </w:rPr>
      </w:pPr>
      <w:r w:rsidRPr="0001206E">
        <w:rPr>
          <w:rFonts w:cs="Times New Roman"/>
          <w:b/>
          <w:sz w:val="28"/>
          <w:szCs w:val="28"/>
          <w:lang w:val="ru-RU"/>
        </w:rPr>
        <w:t xml:space="preserve">Тема: </w:t>
      </w:r>
      <w:r w:rsidRPr="0001206E">
        <w:rPr>
          <w:rFonts w:cs="Times New Roman"/>
          <w:b/>
          <w:sz w:val="28"/>
          <w:szCs w:val="28"/>
        </w:rPr>
        <w:t>Стандартизація вищої освіти в контексті компетентнісного підходу.</w:t>
      </w:r>
    </w:p>
    <w:p w:rsidR="008630B9" w:rsidRDefault="0001206E" w:rsidP="0001206E">
      <w:pPr>
        <w:spacing w:line="360" w:lineRule="auto"/>
        <w:jc w:val="both"/>
        <w:rPr>
          <w:sz w:val="28"/>
          <w:szCs w:val="28"/>
        </w:rPr>
      </w:pPr>
      <w:r>
        <w:rPr>
          <w:sz w:val="28"/>
          <w:szCs w:val="28"/>
        </w:rPr>
        <w:t xml:space="preserve">Сьогодення вітчизняної освіти </w:t>
      </w:r>
      <w:r w:rsidRPr="0001206E">
        <w:rPr>
          <w:sz w:val="28"/>
          <w:szCs w:val="28"/>
        </w:rPr>
        <w:t>пов’язане з модернізацією педагогічного проце</w:t>
      </w:r>
      <w:r w:rsidR="001001AE">
        <w:rPr>
          <w:sz w:val="28"/>
          <w:szCs w:val="28"/>
        </w:rPr>
        <w:t>су на засадах нової особистісно</w:t>
      </w:r>
      <w:r w:rsidRPr="0001206E">
        <w:rPr>
          <w:sz w:val="28"/>
          <w:szCs w:val="28"/>
        </w:rPr>
        <w:t>орієнтованої концепції – компетент</w:t>
      </w:r>
      <w:r w:rsidR="001001AE">
        <w:rPr>
          <w:sz w:val="28"/>
          <w:szCs w:val="28"/>
        </w:rPr>
        <w:t>нісного підходу. Реалізація ком</w:t>
      </w:r>
      <w:r w:rsidRPr="0001206E">
        <w:rPr>
          <w:sz w:val="28"/>
          <w:szCs w:val="28"/>
        </w:rPr>
        <w:t>петентнісного підходу передбачає зміщення акцентів з накопичення у майбутніх фахівців нормативно визначених знань, умінь та навичок до формування й розвитку здатностей творчої професійної діяльності; гарантує високий рівень і результативність підготовки фахівця; сприяє оновленню змісту дисциплін; посилює професійну орієнтацію загаль</w:t>
      </w:r>
      <w:r w:rsidRPr="0001206E">
        <w:rPr>
          <w:sz w:val="28"/>
          <w:szCs w:val="28"/>
        </w:rPr>
        <w:t xml:space="preserve">ноосвітньої підготовки; забезпечує спроможність випускника </w:t>
      </w:r>
      <w:r w:rsidRPr="0001206E">
        <w:rPr>
          <w:sz w:val="28"/>
          <w:szCs w:val="28"/>
        </w:rPr>
        <w:t>ЗВО</w:t>
      </w:r>
      <w:r w:rsidRPr="0001206E">
        <w:rPr>
          <w:sz w:val="28"/>
          <w:szCs w:val="28"/>
        </w:rPr>
        <w:t xml:space="preserve"> відповідати новим запитам ринку праці, мати відповід</w:t>
      </w:r>
      <w:r w:rsidRPr="0001206E">
        <w:rPr>
          <w:sz w:val="28"/>
          <w:szCs w:val="28"/>
        </w:rPr>
        <w:t>ний потенціал для самостійного оволодіння суміжними інноваційними знаннями; створює умови для забезпечення орієнтації освітніх програм на особистість студента, тобто акцент у навчанні зміщується з того, що знає, хоче й може викладач, на те, що потрібно студенту; орієнтує на побудову навчального процесу відповідно до очікуваного чи бажаного результату загальноосвітньої підготовки. Компетентнісний підхід є важливим концептуальним підґрунтям реаліз</w:t>
      </w:r>
      <w:r w:rsidR="001001AE">
        <w:rPr>
          <w:sz w:val="28"/>
          <w:szCs w:val="28"/>
        </w:rPr>
        <w:t>ації нової системи принципів ви</w:t>
      </w:r>
      <w:r w:rsidRPr="0001206E">
        <w:rPr>
          <w:sz w:val="28"/>
          <w:szCs w:val="28"/>
        </w:rPr>
        <w:t xml:space="preserve">значення цілей </w:t>
      </w:r>
      <w:r w:rsidRPr="0001206E">
        <w:rPr>
          <w:sz w:val="28"/>
          <w:szCs w:val="28"/>
        </w:rPr>
        <w:t>вищо</w:t>
      </w:r>
      <w:r w:rsidRPr="0001206E">
        <w:rPr>
          <w:sz w:val="28"/>
          <w:szCs w:val="28"/>
        </w:rPr>
        <w:t>ї освіти, відбору і структурування змісту навчального матеріалу, організації освітнього проце</w:t>
      </w:r>
      <w:r w:rsidR="001001AE">
        <w:rPr>
          <w:sz w:val="28"/>
          <w:szCs w:val="28"/>
        </w:rPr>
        <w:t>су й оціню</w:t>
      </w:r>
      <w:r w:rsidRPr="0001206E">
        <w:rPr>
          <w:sz w:val="28"/>
          <w:szCs w:val="28"/>
        </w:rPr>
        <w:t xml:space="preserve">вання освітніх результатів з метою досягнення майбутніми </w:t>
      </w:r>
      <w:r w:rsidR="001001AE">
        <w:rPr>
          <w:sz w:val="28"/>
          <w:szCs w:val="28"/>
        </w:rPr>
        <w:t>фахі</w:t>
      </w:r>
      <w:r w:rsidRPr="0001206E">
        <w:rPr>
          <w:sz w:val="28"/>
          <w:szCs w:val="28"/>
        </w:rPr>
        <w:t>вцями</w:t>
      </w:r>
      <w:r w:rsidRPr="0001206E">
        <w:rPr>
          <w:sz w:val="28"/>
          <w:szCs w:val="28"/>
        </w:rPr>
        <w:t xml:space="preserve"> достатньо високого рівня знань, досвіду, обізнаності для зді</w:t>
      </w:r>
      <w:r w:rsidR="001001AE">
        <w:rPr>
          <w:sz w:val="28"/>
          <w:szCs w:val="28"/>
        </w:rPr>
        <w:t>йснен</w:t>
      </w:r>
      <w:r>
        <w:rPr>
          <w:sz w:val="28"/>
          <w:szCs w:val="28"/>
        </w:rPr>
        <w:t>ня професійної діяльності</w:t>
      </w:r>
      <w:r w:rsidRPr="0001206E">
        <w:rPr>
          <w:sz w:val="28"/>
          <w:szCs w:val="28"/>
        </w:rPr>
        <w:t>. Філософським аспектам стандарт</w:t>
      </w:r>
      <w:r w:rsidR="001001AE">
        <w:rPr>
          <w:sz w:val="28"/>
          <w:szCs w:val="28"/>
        </w:rPr>
        <w:t>изації освіти, зокрема професій</w:t>
      </w:r>
      <w:r w:rsidRPr="0001206E">
        <w:rPr>
          <w:sz w:val="28"/>
          <w:szCs w:val="28"/>
        </w:rPr>
        <w:t>ної, присвячено праці В. Андрущенка, І. Зязюна, В. Кременя, В. Курила, В. Огнев’юка та ін. Компетентнісна</w:t>
      </w:r>
      <w:r w:rsidR="001001AE">
        <w:rPr>
          <w:sz w:val="28"/>
          <w:szCs w:val="28"/>
        </w:rPr>
        <w:t xml:space="preserve"> парадигма стандартизації профе</w:t>
      </w:r>
      <w:r w:rsidRPr="0001206E">
        <w:rPr>
          <w:sz w:val="28"/>
          <w:szCs w:val="28"/>
        </w:rPr>
        <w:t>сійної підготовки майбутніх кваліфікованих фахі</w:t>
      </w:r>
      <w:r w:rsidR="001001AE">
        <w:rPr>
          <w:sz w:val="28"/>
          <w:szCs w:val="28"/>
        </w:rPr>
        <w:t>вців є предметом на</w:t>
      </w:r>
      <w:r w:rsidRPr="0001206E">
        <w:rPr>
          <w:sz w:val="28"/>
          <w:szCs w:val="28"/>
        </w:rPr>
        <w:t xml:space="preserve">укових пошуків вітчизняних дослідників: С. Гончаренка, В. Лугового , П. Лузана, С. Мельника, Н. Ничкало , Л. Пуховської , В. Радкевич , В. Ягупова та ін. У професійній педагогіці також немає одностайного підходу до розуміння поняття «компетентнісний підхід в освіті», про що свідчать такі думки науковців: </w:t>
      </w:r>
      <w:r w:rsidRPr="0001206E">
        <w:rPr>
          <w:rFonts w:ascii="Segoe UI Symbol" w:hAnsi="Segoe UI Symbol" w:cs="Segoe UI Symbol"/>
          <w:sz w:val="28"/>
          <w:szCs w:val="28"/>
        </w:rPr>
        <w:t>✓</w:t>
      </w:r>
      <w:r w:rsidRPr="0001206E">
        <w:rPr>
          <w:rFonts w:cs="Times New Roman"/>
          <w:sz w:val="28"/>
          <w:szCs w:val="28"/>
        </w:rPr>
        <w:t> </w:t>
      </w:r>
      <w:r w:rsidRPr="0001206E">
        <w:rPr>
          <w:sz w:val="28"/>
          <w:szCs w:val="28"/>
        </w:rPr>
        <w:t xml:space="preserve"> </w:t>
      </w:r>
      <w:r w:rsidRPr="0001206E">
        <w:rPr>
          <w:rFonts w:cs="Times New Roman"/>
          <w:sz w:val="28"/>
          <w:szCs w:val="28"/>
        </w:rPr>
        <w:t>«компетентнісний</w:t>
      </w:r>
      <w:r w:rsidRPr="0001206E">
        <w:rPr>
          <w:sz w:val="28"/>
          <w:szCs w:val="28"/>
        </w:rPr>
        <w:t xml:space="preserve"> </w:t>
      </w:r>
      <w:r w:rsidRPr="0001206E">
        <w:rPr>
          <w:rFonts w:cs="Times New Roman"/>
          <w:sz w:val="28"/>
          <w:szCs w:val="28"/>
        </w:rPr>
        <w:t>підхід</w:t>
      </w:r>
      <w:r w:rsidRPr="0001206E">
        <w:rPr>
          <w:sz w:val="28"/>
          <w:szCs w:val="28"/>
        </w:rPr>
        <w:t xml:space="preserve"> </w:t>
      </w:r>
      <w:r w:rsidRPr="0001206E">
        <w:rPr>
          <w:rFonts w:cs="Times New Roman"/>
          <w:sz w:val="28"/>
          <w:szCs w:val="28"/>
        </w:rPr>
        <w:t>означає</w:t>
      </w:r>
      <w:r w:rsidRPr="0001206E">
        <w:rPr>
          <w:sz w:val="28"/>
          <w:szCs w:val="28"/>
        </w:rPr>
        <w:t xml:space="preserve"> </w:t>
      </w:r>
      <w:r w:rsidRPr="0001206E">
        <w:rPr>
          <w:rFonts w:cs="Times New Roman"/>
          <w:sz w:val="28"/>
          <w:szCs w:val="28"/>
        </w:rPr>
        <w:t>поступову</w:t>
      </w:r>
      <w:r w:rsidRPr="0001206E">
        <w:rPr>
          <w:sz w:val="28"/>
          <w:szCs w:val="28"/>
        </w:rPr>
        <w:t xml:space="preserve"> </w:t>
      </w:r>
      <w:r w:rsidRPr="0001206E">
        <w:rPr>
          <w:rFonts w:cs="Times New Roman"/>
          <w:sz w:val="28"/>
          <w:szCs w:val="28"/>
        </w:rPr>
        <w:t>переорієнтацію</w:t>
      </w:r>
      <w:r w:rsidRPr="0001206E">
        <w:rPr>
          <w:sz w:val="28"/>
          <w:szCs w:val="28"/>
        </w:rPr>
        <w:t xml:space="preserve"> домінуючої освітньої парадигми з переважаючою трансляцією </w:t>
      </w:r>
      <w:r w:rsidRPr="0001206E">
        <w:rPr>
          <w:sz w:val="28"/>
          <w:szCs w:val="28"/>
        </w:rPr>
        <w:lastRenderedPageBreak/>
        <w:t>знань, формуванням навичок, створення умов для оволодіння комплексом компетенцій, які означають потенціал, здатність випускника до стійкої життєдіяльності в умовах сучасного багаточинникового соціально-по</w:t>
      </w:r>
      <w:r w:rsidRPr="0001206E">
        <w:rPr>
          <w:sz w:val="28"/>
          <w:szCs w:val="28"/>
        </w:rPr>
        <w:t>літичного, ринково-економічного, інформаційно і комунікаційно на</w:t>
      </w:r>
      <w:r w:rsidRPr="0001206E">
        <w:rPr>
          <w:sz w:val="28"/>
          <w:szCs w:val="28"/>
        </w:rPr>
        <w:t xml:space="preserve">сиченого простору» ; </w:t>
      </w:r>
      <w:r w:rsidRPr="0001206E">
        <w:rPr>
          <w:rFonts w:ascii="Segoe UI Symbol" w:hAnsi="Segoe UI Symbol" w:cs="Segoe UI Symbol"/>
          <w:sz w:val="28"/>
          <w:szCs w:val="28"/>
        </w:rPr>
        <w:t>✓</w:t>
      </w:r>
      <w:r w:rsidRPr="0001206E">
        <w:rPr>
          <w:rFonts w:cs="Times New Roman"/>
          <w:sz w:val="28"/>
          <w:szCs w:val="28"/>
        </w:rPr>
        <w:t> </w:t>
      </w:r>
      <w:r w:rsidRPr="0001206E">
        <w:rPr>
          <w:sz w:val="28"/>
          <w:szCs w:val="28"/>
        </w:rPr>
        <w:t>«…особливості навчання на основі компетентності: навчання скон</w:t>
      </w:r>
      <w:r w:rsidRPr="0001206E">
        <w:rPr>
          <w:sz w:val="28"/>
          <w:szCs w:val="28"/>
        </w:rPr>
        <w:t>центроване на вихідних результатах, а не на вхідних; враховується пере</w:t>
      </w:r>
      <w:r w:rsidRPr="0001206E">
        <w:rPr>
          <w:sz w:val="28"/>
          <w:szCs w:val="28"/>
        </w:rPr>
        <w:t xml:space="preserve">важно здатність виконання практичних завдань, але беруться до уваги і знання; навчання у виробничих умовах (принаймні частина навчання відбувається на робочому місці в умовах виробництва)»; </w:t>
      </w:r>
      <w:r w:rsidRPr="0001206E">
        <w:rPr>
          <w:rFonts w:ascii="Segoe UI Symbol" w:hAnsi="Segoe UI Symbol" w:cs="Segoe UI Symbol"/>
          <w:sz w:val="28"/>
          <w:szCs w:val="28"/>
        </w:rPr>
        <w:t>✓</w:t>
      </w:r>
      <w:r w:rsidRPr="0001206E">
        <w:rPr>
          <w:rFonts w:cs="Times New Roman"/>
          <w:sz w:val="28"/>
          <w:szCs w:val="28"/>
        </w:rPr>
        <w:t> «Під</w:t>
      </w:r>
      <w:r w:rsidRPr="0001206E">
        <w:rPr>
          <w:sz w:val="28"/>
          <w:szCs w:val="28"/>
        </w:rPr>
        <w:t xml:space="preserve"> </w:t>
      </w:r>
      <w:r w:rsidRPr="0001206E">
        <w:rPr>
          <w:rFonts w:cs="Times New Roman"/>
          <w:sz w:val="28"/>
          <w:szCs w:val="28"/>
        </w:rPr>
        <w:t>компетентнісним</w:t>
      </w:r>
      <w:r w:rsidRPr="0001206E">
        <w:rPr>
          <w:sz w:val="28"/>
          <w:szCs w:val="28"/>
        </w:rPr>
        <w:t xml:space="preserve"> </w:t>
      </w:r>
      <w:r w:rsidRPr="0001206E">
        <w:rPr>
          <w:rFonts w:cs="Times New Roman"/>
          <w:sz w:val="28"/>
          <w:szCs w:val="28"/>
        </w:rPr>
        <w:t>підходом</w:t>
      </w:r>
      <w:r w:rsidRPr="0001206E">
        <w:rPr>
          <w:sz w:val="28"/>
          <w:szCs w:val="28"/>
        </w:rPr>
        <w:t xml:space="preserve"> </w:t>
      </w:r>
      <w:r w:rsidRPr="0001206E">
        <w:rPr>
          <w:rFonts w:cs="Times New Roman"/>
          <w:sz w:val="28"/>
          <w:szCs w:val="28"/>
        </w:rPr>
        <w:t>необхідно</w:t>
      </w:r>
      <w:r w:rsidRPr="0001206E">
        <w:rPr>
          <w:sz w:val="28"/>
          <w:szCs w:val="28"/>
        </w:rPr>
        <w:t xml:space="preserve"> </w:t>
      </w:r>
      <w:r w:rsidRPr="0001206E">
        <w:rPr>
          <w:rFonts w:cs="Times New Roman"/>
          <w:sz w:val="28"/>
          <w:szCs w:val="28"/>
        </w:rPr>
        <w:t>розуміти</w:t>
      </w:r>
      <w:r w:rsidRPr="0001206E">
        <w:rPr>
          <w:sz w:val="28"/>
          <w:szCs w:val="28"/>
        </w:rPr>
        <w:t xml:space="preserve"> </w:t>
      </w:r>
      <w:r w:rsidRPr="0001206E">
        <w:rPr>
          <w:rFonts w:cs="Times New Roman"/>
          <w:sz w:val="28"/>
          <w:szCs w:val="28"/>
        </w:rPr>
        <w:t>метод</w:t>
      </w:r>
      <w:r w:rsidRPr="0001206E">
        <w:rPr>
          <w:sz w:val="28"/>
          <w:szCs w:val="28"/>
        </w:rPr>
        <w:t xml:space="preserve"> </w:t>
      </w:r>
      <w:r w:rsidRPr="0001206E">
        <w:rPr>
          <w:rFonts w:cs="Times New Roman"/>
          <w:sz w:val="28"/>
          <w:szCs w:val="28"/>
        </w:rPr>
        <w:t>моде</w:t>
      </w:r>
      <w:r w:rsidRPr="0001206E">
        <w:rPr>
          <w:sz w:val="28"/>
          <w:szCs w:val="28"/>
        </w:rPr>
        <w:t/>
      </w:r>
      <w:r w:rsidRPr="0001206E">
        <w:rPr>
          <w:rFonts w:cs="Times New Roman"/>
          <w:sz w:val="28"/>
          <w:szCs w:val="28"/>
        </w:rPr>
        <w:t>лювання</w:t>
      </w:r>
      <w:r w:rsidRPr="0001206E">
        <w:rPr>
          <w:sz w:val="28"/>
          <w:szCs w:val="28"/>
        </w:rPr>
        <w:t xml:space="preserve"> </w:t>
      </w:r>
      <w:r w:rsidRPr="0001206E">
        <w:rPr>
          <w:rFonts w:cs="Times New Roman"/>
          <w:sz w:val="28"/>
          <w:szCs w:val="28"/>
        </w:rPr>
        <w:t>результатів</w:t>
      </w:r>
      <w:r w:rsidRPr="0001206E">
        <w:rPr>
          <w:sz w:val="28"/>
          <w:szCs w:val="28"/>
        </w:rPr>
        <w:t xml:space="preserve"> </w:t>
      </w:r>
      <w:r w:rsidRPr="0001206E">
        <w:rPr>
          <w:rFonts w:cs="Times New Roman"/>
          <w:sz w:val="28"/>
          <w:szCs w:val="28"/>
        </w:rPr>
        <w:t>професійної</w:t>
      </w:r>
      <w:r w:rsidRPr="0001206E">
        <w:rPr>
          <w:sz w:val="28"/>
          <w:szCs w:val="28"/>
        </w:rPr>
        <w:t xml:space="preserve"> </w:t>
      </w:r>
      <w:r w:rsidRPr="0001206E">
        <w:rPr>
          <w:rFonts w:cs="Times New Roman"/>
          <w:sz w:val="28"/>
          <w:szCs w:val="28"/>
        </w:rPr>
        <w:t>освіти</w:t>
      </w:r>
      <w:r w:rsidRPr="0001206E">
        <w:rPr>
          <w:sz w:val="28"/>
          <w:szCs w:val="28"/>
        </w:rPr>
        <w:t xml:space="preserve"> </w:t>
      </w:r>
      <w:r w:rsidRPr="0001206E">
        <w:rPr>
          <w:rFonts w:cs="Times New Roman"/>
          <w:sz w:val="28"/>
          <w:szCs w:val="28"/>
        </w:rPr>
        <w:t>і</w:t>
      </w:r>
      <w:r w:rsidRPr="0001206E">
        <w:rPr>
          <w:sz w:val="28"/>
          <w:szCs w:val="28"/>
        </w:rPr>
        <w:t xml:space="preserve"> </w:t>
      </w:r>
      <w:r w:rsidRPr="0001206E">
        <w:rPr>
          <w:rFonts w:cs="Times New Roman"/>
          <w:sz w:val="28"/>
          <w:szCs w:val="28"/>
        </w:rPr>
        <w:t>навчання</w:t>
      </w:r>
      <w:r w:rsidRPr="0001206E">
        <w:rPr>
          <w:sz w:val="28"/>
          <w:szCs w:val="28"/>
        </w:rPr>
        <w:t xml:space="preserve"> </w:t>
      </w:r>
      <w:r w:rsidRPr="0001206E">
        <w:rPr>
          <w:rFonts w:cs="Times New Roman"/>
          <w:sz w:val="28"/>
          <w:szCs w:val="28"/>
        </w:rPr>
        <w:t>та</w:t>
      </w:r>
      <w:r w:rsidRPr="0001206E">
        <w:rPr>
          <w:sz w:val="28"/>
          <w:szCs w:val="28"/>
        </w:rPr>
        <w:t xml:space="preserve"> </w:t>
      </w:r>
      <w:r w:rsidRPr="0001206E">
        <w:rPr>
          <w:rFonts w:cs="Times New Roman"/>
          <w:sz w:val="28"/>
          <w:szCs w:val="28"/>
        </w:rPr>
        <w:t>їх</w:t>
      </w:r>
      <w:r w:rsidRPr="0001206E">
        <w:rPr>
          <w:sz w:val="28"/>
          <w:szCs w:val="28"/>
        </w:rPr>
        <w:t xml:space="preserve"> </w:t>
      </w:r>
      <w:r w:rsidRPr="0001206E">
        <w:rPr>
          <w:rFonts w:cs="Times New Roman"/>
          <w:sz w:val="28"/>
          <w:szCs w:val="28"/>
        </w:rPr>
        <w:t>представлення</w:t>
      </w:r>
      <w:r w:rsidRPr="0001206E">
        <w:rPr>
          <w:sz w:val="28"/>
          <w:szCs w:val="28"/>
        </w:rPr>
        <w:t xml:space="preserve"> у вигляді норм якості підготовки кваліфікованих робітників. Узагальнюючи проаналізовані літературні джерела з проблеми впровадження компетентнісного підходу в освіті, ми дійшли висновку, що вчені поняття «компетентнісний підхід» розуміють як: – спрямованість освітнього процесу на формування та розвиток ключових (базових, основних) і предметних компетентностей особи</w:t>
      </w:r>
      <w:r w:rsidRPr="0001206E">
        <w:rPr>
          <w:sz w:val="28"/>
          <w:szCs w:val="28"/>
        </w:rPr>
        <w:t>стості (О. Пометун, В. Химинець); – переорієнтацію з процесу на результат освіти в діяльнісному та особистісно орієнтованому вимірі (Н. Бібік, Т. Олійник, Ю. Рибалко, А. Хуторський); – уміння студентів розв’язувати проблеми, що виникають в різних сферах діяльності (Н. Нагорна, В. Болотов). Узагальнюючи сказане, можна дати таке визначення: компетент</w:t>
      </w:r>
      <w:r w:rsidRPr="0001206E">
        <w:rPr>
          <w:sz w:val="28"/>
          <w:szCs w:val="28"/>
        </w:rPr>
        <w:t>нісний підхід у вищій освіті – це така організація навчального процесу, яка зосереджується на тому, що студенти в результаті навчання викону</w:t>
      </w:r>
      <w:r w:rsidRPr="0001206E">
        <w:rPr>
          <w:sz w:val="28"/>
          <w:szCs w:val="28"/>
        </w:rPr>
        <w:t>ють чи вміють робити, а не на тому, чого вони мають навчатися. Навчан</w:t>
      </w:r>
      <w:r w:rsidRPr="0001206E">
        <w:rPr>
          <w:sz w:val="28"/>
          <w:szCs w:val="28"/>
        </w:rPr>
        <w:t>ня на основі компетентнісного підходу формує у студентів якості для реалізації професійної діяльності, які необхідні для ринку праці, а кри</w:t>
      </w:r>
      <w:r w:rsidRPr="0001206E">
        <w:rPr>
          <w:sz w:val="28"/>
          <w:szCs w:val="28"/>
        </w:rPr>
        <w:t>терії та параметри оцінки результатів освіти уніфікуються й виражають</w:t>
      </w:r>
      <w:r w:rsidRPr="0001206E">
        <w:rPr>
          <w:sz w:val="28"/>
          <w:szCs w:val="28"/>
        </w:rPr>
        <w:t>ся у термінах і результатах, що можуть бути інтерпретовані і враховані у будь-якому освітньому закладі будь-якої країни. Перехід до компетентнісного підходу означає переорієнтацію з про</w:t>
      </w:r>
      <w:r w:rsidRPr="0001206E">
        <w:rPr>
          <w:sz w:val="28"/>
          <w:szCs w:val="28"/>
        </w:rPr>
        <w:t xml:space="preserve">цесу на результат освіти в діяльнісному вимірі, </w:t>
      </w:r>
      <w:r w:rsidRPr="0001206E">
        <w:rPr>
          <w:sz w:val="28"/>
          <w:szCs w:val="28"/>
        </w:rPr>
        <w:lastRenderedPageBreak/>
        <w:t>у зміщенні акценту з на</w:t>
      </w:r>
      <w:r w:rsidRPr="0001206E">
        <w:rPr>
          <w:sz w:val="28"/>
          <w:szCs w:val="28"/>
        </w:rPr>
        <w:t>копичування нормативно визначених знань, умінь і навичок на форму</w:t>
      </w:r>
      <w:r w:rsidRPr="0001206E">
        <w:rPr>
          <w:sz w:val="28"/>
          <w:szCs w:val="28"/>
        </w:rPr>
        <w:t>вання й розвиток здатності практично діяти. Це означає, що головною метою підготовки фахівця в умовах сучасного суспільства стає не тра</w:t>
      </w:r>
      <w:r w:rsidRPr="0001206E">
        <w:rPr>
          <w:sz w:val="28"/>
          <w:szCs w:val="28"/>
        </w:rPr>
        <w:t>диційне розуміння здобуття чітко визначеної кваліфікації, а набуття та розвиток певних компетенцій, які мають забезпечити йому можливість адаптуватися в умовах динамічного розвитку сучасного світу. Закон України «Про вищу освіту» надає такі визначення: «Компетентність – динамічна комбінація знань, умінь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w:t>
      </w:r>
      <w:r w:rsidRPr="0001206E">
        <w:rPr>
          <w:sz w:val="28"/>
          <w:szCs w:val="28"/>
        </w:rPr>
        <w:t>зультатом навчання на певному рівні вищої освіти» (стаття 1.1.13). Компетентність – інтегрована характеристика якостей особисто</w:t>
      </w:r>
      <w:r w:rsidRPr="0001206E">
        <w:rPr>
          <w:sz w:val="28"/>
          <w:szCs w:val="28"/>
        </w:rPr>
        <w:t>сті, результат підготовки випускника вузу для виконання діяльності в певних професійних та соціально-особистісних предметних облас</w:t>
      </w:r>
      <w:r w:rsidRPr="0001206E">
        <w:rPr>
          <w:sz w:val="28"/>
          <w:szCs w:val="28"/>
        </w:rPr>
        <w:t>тях (компетенціях), який визначається необхідним обсягом і рівнем знань та до</w:t>
      </w:r>
      <w:r>
        <w:rPr>
          <w:sz w:val="28"/>
          <w:szCs w:val="28"/>
        </w:rPr>
        <w:t>свіду в певному виді діяльності</w:t>
      </w:r>
      <w:r w:rsidRPr="0001206E">
        <w:rPr>
          <w:sz w:val="28"/>
          <w:szCs w:val="28"/>
        </w:rPr>
        <w:t>. У світовій освітній практиці компетентність – це одне з центральних понять, бажаний і прогнозований результат навчання та професійної підготовки. Європейський фонд освіти визначає чотири моделі компетенцій, заснованих на: параметрах особистості; виконанні завдань та діяльності; виконанні виробничої діяльності; управлінні результатами діяльності</w:t>
      </w:r>
      <w:r w:rsidRPr="0001206E">
        <w:rPr>
          <w:sz w:val="28"/>
          <w:szCs w:val="28"/>
        </w:rPr>
        <w:t>.</w:t>
      </w:r>
      <w:r w:rsidRPr="0001206E">
        <w:rPr>
          <w:sz w:val="28"/>
          <w:szCs w:val="28"/>
        </w:rPr>
        <w:t xml:space="preserve"> Компетентність передбачає наявність в індивіда внутрішньої мо</w:t>
      </w:r>
      <w:r w:rsidRPr="0001206E">
        <w:rPr>
          <w:sz w:val="28"/>
          <w:szCs w:val="28"/>
        </w:rPr>
        <w:t>тивації до якісної професійної діяльності, усвідомлення професійних цінностей і ставлення до своєї професії як до цінності. Компетентний фахівець має бути здатним виходити за межі предмета своєї профе</w:t>
      </w:r>
      <w:r w:rsidRPr="0001206E">
        <w:rPr>
          <w:sz w:val="28"/>
          <w:szCs w:val="28"/>
        </w:rPr>
        <w:t>сії та володіти творчим потенціалом для саморозвитку. При цьому основою компетентнісного підходу є культура самовизначення (формування здатності та готовності самовизначатися, самореалізову</w:t>
      </w:r>
      <w:r w:rsidRPr="0001206E">
        <w:rPr>
          <w:sz w:val="28"/>
          <w:szCs w:val="28"/>
        </w:rPr>
        <w:t xml:space="preserve">ватися, саморозвиватися). I.  Зимня розмежовує поняття «компетенція» і «компетентність» на засадах» потенційне – актуальне, когнітивне – особистісне». Дослідниця відносить компетенцію до потенційних якостей </w:t>
      </w:r>
      <w:r w:rsidRPr="0001206E">
        <w:rPr>
          <w:sz w:val="28"/>
          <w:szCs w:val="28"/>
        </w:rPr>
        <w:lastRenderedPageBreak/>
        <w:t xml:space="preserve">особистості, а компетентність до актуальних, тобто вже розглядає компетентність як актуалізацію компетенцій. Для нашого дослідження в плані розмежування та розуміння суті цих понять інтерес становлять підходи (які ми також поділяємо) окремих дослідників компетентнісного підходу. Наприклад, А.Хуторський, розділяючи ці поняття, під компетенцією розуміє наперед задану вимогу (норму) до освітньої підготовки учня, а під компетентністю – особистісну його якість (сукупність якостей), які вже набуті, а також мінімальний досвід щодо діяльності в заданій сфері: «Компетентність передбачає мінімальний досвід застосування компетенції» . Експерти програми «DeSeCo» визначають поняття компетентності як здатність успішно задовольняти індивідуальні та соціальні потреби, діяти й виконувати поставлені завдання. На думку експертів “DeSeCo”, до внутрішньої структури компетентності входять знання, пізнавальні і практичні уміння й навички, ставлення, емоції, цінності та етичні норми, мотивація. Аналіз змісту визначень поняття «компетентність» показує, що практично кожне з них включає, як основні характеристики, такі знання, досвід у певному виді діяльності. Компетентність проявляється, на нашу думку, в конкретній ситуації у процесі здійснення професійної діяльності, і якщо вона залишається невиявленою, потенційною, то це не є компетентністю, а лише прихованою можливістю. Компетентність не може бути ізольована від конкретних умов її реалізації та діяльності. У межах такого розуміння ми можемо наголошувати на тому, що компетентність – це підготовленість (теоретична, практична, особистісна, психологічна тощо) до здійснення певної професійної діяльності та наявність професійно важливих якостей фахівця, що сприяють цій діяльності. Аналіз окреслених наукових джерел уможливлює зробити висновок, що компетенція є похідним поняттям від компетентності й означає сферу, в якій людина застосовує свої знання, вміння та навички. Водночас, компетентність – це семантично первинна категорія, що представляє знання, вміння та навички, сукупність яких складає так званий «розумовий багаж» людини, котрий вона залучає до особистого досвіду. компетентність </w:t>
      </w:r>
      <w:r w:rsidRPr="0001206E">
        <w:rPr>
          <w:sz w:val="28"/>
          <w:szCs w:val="28"/>
        </w:rPr>
        <w:lastRenderedPageBreak/>
        <w:t>формується, розвивається і проявляється в процесі конкретної діяльності, а не абстрактної. У зв’язку з цим можна наголошувати, що компетентність – це вміння та культура здійснювати певну діяльність. Така позиція збігається з позицією Міжнародного департаменту стандартів для навчання, досягнення та освіти: «поняття «компетентність» визначається як спроможність кваліфіковано здійснювати діяльність…» . Проаналізувавши психолого-педагогічну літературу, ми можемо зробити такі висновки: компетенція – деяка відчужена, наперед задана вимога до підготовки особи (властивості або якості, потенційні здатності особи), наперед задана вимога щодо знань та досвіду діяльності у певній сфері; компетентність – це володіння компетенцією, що виявляється в ефективній діяльності і включає особисте ставлення до предмету і продукту діяльності; компетентність – це інтегративне утворення особистості, що інтегрує в собі знання, уміння, навички, досвід і особистісні властивості, які зумовлюють прагнення, здатність і готовність розв’язувати проблеми і завдання, що виникають в реальних життєвих ситуаціях, усвідомлюючи при цьому значущість предмета і результату діяльності, «компетентність» є системним поняттям, що має свою структуру, рівні, функції, своєрідні характеристики, властивості; компетентним можна стати опановуючи певні компетенції,і реалізуючи їх у досвіді конкретної діяльності. Розробка стандартів вищої освіти має стратегічне завдання з удосконалення системи контролю й оцінки якості освіти та наголошує на необхідності порівняння досягнутого рівня освіти з певним еталоном, роль якого й відведена стандарту освіти . Із позицій компетентнісного підходу, рівень освіченості здобува</w:t>
      </w:r>
      <w:r w:rsidRPr="0001206E">
        <w:rPr>
          <w:sz w:val="28"/>
          <w:szCs w:val="28"/>
        </w:rPr>
        <w:t xml:space="preserve">чів вищої освіти визначається здатністю розв’язувати проблеми різної складності на основі наявних знань та здатності використовувати їх у практичній діяльності. </w:t>
      </w:r>
      <w:r w:rsidR="008630B9" w:rsidRPr="008630B9">
        <w:rPr>
          <w:sz w:val="28"/>
          <w:szCs w:val="28"/>
        </w:rPr>
        <w:t>В</w:t>
      </w:r>
      <w:r w:rsidRPr="0001206E">
        <w:rPr>
          <w:sz w:val="28"/>
          <w:szCs w:val="28"/>
        </w:rPr>
        <w:t xml:space="preserve"> Національній стратегії розвитку освіти України на період до 2021 року заявлено про необхідність методологічних змін з метою впровадження компетентнісного підходу у зміст професійної освіти (для здійснення стабільного роз</w:t>
      </w:r>
      <w:r w:rsidRPr="0001206E">
        <w:rPr>
          <w:sz w:val="28"/>
          <w:szCs w:val="28"/>
        </w:rPr>
        <w:t xml:space="preserve">витку і нового якісного прориву в професійній освіті </w:t>
      </w:r>
      <w:r w:rsidRPr="0001206E">
        <w:rPr>
          <w:sz w:val="28"/>
          <w:szCs w:val="28"/>
        </w:rPr>
        <w:lastRenderedPageBreak/>
        <w:t>необхідно забез</w:t>
      </w:r>
      <w:r w:rsidRPr="0001206E">
        <w:rPr>
          <w:sz w:val="28"/>
          <w:szCs w:val="28"/>
        </w:rPr>
        <w:t>печити, насамперед, розроблення та впровадження державних стан</w:t>
      </w:r>
      <w:r w:rsidRPr="0001206E">
        <w:rPr>
          <w:sz w:val="28"/>
          <w:szCs w:val="28"/>
        </w:rPr>
        <w:t>дартів професійно-технічної освіти з професій широких кваліфікацій; оновлення та запровадження оптимального переліку професій з під</w:t>
      </w:r>
      <w:r w:rsidRPr="0001206E">
        <w:rPr>
          <w:sz w:val="28"/>
          <w:szCs w:val="28"/>
        </w:rPr>
        <w:t>готовки кваліфікованих робітників (скорочення їх кількості на основі інтеграції); розвантаження навчальних планів і програм за рахунок ди</w:t>
      </w:r>
      <w:r w:rsidRPr="0001206E">
        <w:rPr>
          <w:sz w:val="28"/>
          <w:szCs w:val="28"/>
        </w:rPr>
        <w:t>ференціації та інтеграції їх змісту тощо . Про забезпечення якісної, конкурентоспроможної професійної освіти, відповідно до вимог інно</w:t>
      </w:r>
      <w:r w:rsidRPr="0001206E">
        <w:rPr>
          <w:sz w:val="28"/>
          <w:szCs w:val="28"/>
        </w:rPr>
        <w:t>ваційного сталого розвитку суспільства, економіки йдеться у Стратегії сталого розвитку «Україна – 2020», де зазначено, що освітні реформи визначають вектор відповідальності, тобто гарантують доступ грома</w:t>
      </w:r>
      <w:r w:rsidRPr="0001206E">
        <w:rPr>
          <w:sz w:val="28"/>
          <w:szCs w:val="28"/>
        </w:rPr>
        <w:t>дян до високоякісної освіти, досягнення європейських стандартів жит</w:t>
      </w:r>
      <w:r w:rsidRPr="0001206E">
        <w:rPr>
          <w:sz w:val="28"/>
          <w:szCs w:val="28"/>
        </w:rPr>
        <w:t>тя та вихід України на провідні позиції у світі</w:t>
      </w:r>
      <w:bookmarkStart w:id="0" w:name="_GoBack"/>
      <w:bookmarkEnd w:id="0"/>
      <w:r w:rsidRPr="0001206E">
        <w:rPr>
          <w:sz w:val="28"/>
          <w:szCs w:val="28"/>
        </w:rPr>
        <w:t>. У Середньостроковому плані пріоритетних дій Уряду до 2020  р. зазначено, що для розвитку людського капіталу необхідними є: рефор</w:t>
      </w:r>
      <w:r w:rsidRPr="0001206E">
        <w:rPr>
          <w:sz w:val="28"/>
          <w:szCs w:val="28"/>
        </w:rPr>
        <w:t>ма системи освіти: трансформація змісту освіти на основі компетент</w:t>
      </w:r>
      <w:r w:rsidRPr="0001206E">
        <w:rPr>
          <w:sz w:val="28"/>
          <w:szCs w:val="28"/>
        </w:rPr>
        <w:t>нісного підходу, модернізація професійно-технічної освіти, створення сприятливих умов для підготовки на належному рівні конкуренто</w:t>
      </w:r>
      <w:r w:rsidRPr="0001206E">
        <w:rPr>
          <w:sz w:val="28"/>
          <w:szCs w:val="28"/>
        </w:rPr>
        <w:t>спроможних робітничих кадрів, здатних задовольнити вимоги сучас</w:t>
      </w:r>
      <w:r w:rsidRPr="0001206E">
        <w:rPr>
          <w:sz w:val="28"/>
          <w:szCs w:val="28"/>
        </w:rPr>
        <w:t>ного ринку праці . Вагомим реформаторським кроком у напрямі підвищення якості та конкурентоспроможності кваліфікацій громадян України є прийняття низки нормативно-правових документів, а саме: Постанови Кабінету Міністрів України «Про затвердження Національної рамки кваліфіка</w:t>
      </w:r>
      <w:r w:rsidRPr="0001206E">
        <w:rPr>
          <w:sz w:val="28"/>
          <w:szCs w:val="28"/>
        </w:rPr>
        <w:t>цій» , Плану заходів щодо впровадження Національної рамки кваліфікацій на 2016–2020 рр., що мають безпосереднє відношення до розроблення стандартів на компетентнісній основі, кваліфікацій різних типів відповідно до Національної рамки кваліфікацій (НРК). Ці документи відкривають великі перспективи для проектування змісту професійно-технічної освіти на основі компетентнісного підходу. Аналіз нормативних документів, методичних джерел, аналітичних матеріалів різних проектів стандартизації професійної освіти засвід</w:t>
      </w:r>
      <w:r w:rsidRPr="0001206E">
        <w:rPr>
          <w:sz w:val="28"/>
          <w:szCs w:val="28"/>
        </w:rPr>
        <w:t>чує необхідність вироблення єдиних підходів до стандартизації про</w:t>
      </w:r>
      <w:r w:rsidRPr="0001206E">
        <w:rPr>
          <w:sz w:val="28"/>
          <w:szCs w:val="28"/>
        </w:rPr>
        <w:t xml:space="preserve">фесійної освіти молодших спеціалістів у </w:t>
      </w:r>
      <w:r w:rsidRPr="0001206E">
        <w:rPr>
          <w:sz w:val="28"/>
          <w:szCs w:val="28"/>
        </w:rPr>
        <w:lastRenderedPageBreak/>
        <w:t>коледжах і технікумах, що стане основою для конструктивної переорієнтації змісту професійної освіти на компетентнісний підхід у контексті підтримки реформ систе</w:t>
      </w:r>
      <w:r w:rsidRPr="0001206E">
        <w:rPr>
          <w:sz w:val="28"/>
          <w:szCs w:val="28"/>
        </w:rPr>
        <w:t>ми кваліфікацій в Україні. Запровадження компетентнісного підходу неможливе без визна</w:t>
      </w:r>
      <w:r w:rsidRPr="0001206E">
        <w:rPr>
          <w:sz w:val="28"/>
          <w:szCs w:val="28"/>
        </w:rPr>
        <w:t>чення переліку ключових компетентностей, на досягнення яких ма</w:t>
      </w:r>
      <w:r w:rsidRPr="0001206E">
        <w:rPr>
          <w:sz w:val="28"/>
          <w:szCs w:val="28"/>
        </w:rPr>
        <w:t>ють бути зорієнтовані процеси навчання та професійної підготовки. За означенням багатьох міжнародних експертів, поняття ключових  компетентностей належить до сфери узагальнених понять, що містить комплекс різних компонентів – знань, умінь, навичок, взаємовідносин, цінностей та інших чинників, що становлять особистісні й суспільні аспекти життя та діяльності людини, і від яких залежить особистий та суспільний прогрес. Перелік ключових компетентностей особистості в цілому та фахів</w:t>
      </w:r>
      <w:r w:rsidRPr="0001206E">
        <w:rPr>
          <w:sz w:val="28"/>
          <w:szCs w:val="28"/>
        </w:rPr>
        <w:t>ців різних галузей є предметом постійних дискусій науковців, оскіль</w:t>
      </w:r>
      <w:r w:rsidRPr="0001206E">
        <w:rPr>
          <w:sz w:val="28"/>
          <w:szCs w:val="28"/>
        </w:rPr>
        <w:t>ки він залежить від пріоритетів суспільства, цілей освіти, які мають відмінності в різних країнах. Пошуку спільних підходів до вирішення цих питань сприяють глобалізаційні процеси, які відбуваються в усіх сферах людської діяльності, інтегрування освітніх систем, об’єднання ринку праці з єдиними вимогами до фахівців. Розглядаючи зміст освіти, переважна більшість науковців виділяють, насамперед, так звані ключові (надпрофесійні) компетентності, які підтримуються певними здатностями, такими, як: критичне мислення, креативність, «європейський вимір» і активна життєва позиція. Спільно ці здатності сприяють розвитку особистості. У сучасних умовах для випускників закладів освіти особливо важливим має бути розуміння со</w:t>
      </w:r>
      <w:r w:rsidRPr="0001206E">
        <w:rPr>
          <w:sz w:val="28"/>
          <w:szCs w:val="28"/>
        </w:rPr>
        <w:t>ціального значення своєї професії й, відповідно, розуміння свого місця в системі соціальних відносин, а також здатність до критичної оцінки свого життєвого та професійного досвіду, свідомого вибору шляхів та методів удосконалення своїх особистих і професійних якостей. І. Зимня, ґрунтуючись на працях вітчизняних психологів, виділяє три групи компетентностей: особистісні – компетентності, що стосу</w:t>
      </w:r>
      <w:r w:rsidRPr="0001206E">
        <w:rPr>
          <w:sz w:val="28"/>
          <w:szCs w:val="28"/>
        </w:rPr>
        <w:t>ються самого себе як особистості, як суб’єкта життєдіяльності; комуні</w:t>
      </w:r>
      <w:r w:rsidRPr="0001206E">
        <w:rPr>
          <w:sz w:val="28"/>
          <w:szCs w:val="28"/>
        </w:rPr>
        <w:t xml:space="preserve">кативні – компетентності, що стосуються взаємодії людини з іншими людьми; </w:t>
      </w:r>
      <w:r w:rsidRPr="0001206E">
        <w:rPr>
          <w:sz w:val="28"/>
          <w:szCs w:val="28"/>
        </w:rPr>
        <w:lastRenderedPageBreak/>
        <w:t>діяльнісні – компетентності, що стосуються діяльності люди</w:t>
      </w:r>
      <w:r w:rsidRPr="0001206E">
        <w:rPr>
          <w:sz w:val="28"/>
          <w:szCs w:val="28"/>
        </w:rPr>
        <w:t>ни, яка проявляється у всіх її типах і формах. Вивчення суті й видів ключових компетентностей у вітчизняній та зарубіжній літературі дає підстави стверджувати, що ключові компе</w:t>
      </w:r>
      <w:r w:rsidRPr="0001206E">
        <w:rPr>
          <w:sz w:val="28"/>
          <w:szCs w:val="28"/>
        </w:rPr>
        <w:t>тентності постійно вдосконалюються, уточнюються й розвиваються. І, як стверджує В. Ягупов, для системи професійної освіти необхідни</w:t>
      </w:r>
      <w:r w:rsidRPr="0001206E">
        <w:rPr>
          <w:sz w:val="28"/>
          <w:szCs w:val="28"/>
        </w:rPr>
        <w:t xml:space="preserve">ми ключовими компетентностями є: уміння працювати в колективі; уміння вирішувати проблеми; здатність організовувати та </w:t>
      </w:r>
      <w:r w:rsidR="00224DC7">
        <w:rPr>
          <w:sz w:val="28"/>
          <w:szCs w:val="28"/>
        </w:rPr>
        <w:t xml:space="preserve">оцінювати свою діяльність тощо </w:t>
      </w:r>
      <w:r w:rsidRPr="0001206E">
        <w:rPr>
          <w:sz w:val="28"/>
          <w:szCs w:val="28"/>
        </w:rPr>
        <w:t>. На думку В. Радкевич, ключові компетентності – це загальні здіб</w:t>
      </w:r>
      <w:r w:rsidRPr="0001206E">
        <w:rPr>
          <w:sz w:val="28"/>
          <w:szCs w:val="28"/>
        </w:rPr>
        <w:t>ності й уміння, що дають змогу особі розуміти ситуацію, досягати успі</w:t>
      </w:r>
      <w:r w:rsidRPr="0001206E">
        <w:rPr>
          <w:sz w:val="28"/>
          <w:szCs w:val="28"/>
        </w:rPr>
        <w:t>ху в особистісному й професійному житті, набувати соціальної само</w:t>
      </w:r>
      <w:r w:rsidRPr="0001206E">
        <w:rPr>
          <w:sz w:val="28"/>
          <w:szCs w:val="28"/>
        </w:rPr>
        <w:t xml:space="preserve">стійності та забезпечувати ефективну професійну взаємодію. Ключові компетентності ґрунтуються на головних цілях загальної і професійної освіти тих, хто навчається, їхньому соціальному й особистісному досвіді, а також на основних видах діяльності. Уточнення переліку ключових компетентностей за напрямами професійної підготовки особливо важливе </w:t>
      </w:r>
      <w:r w:rsidR="00224DC7" w:rsidRPr="00224DC7">
        <w:rPr>
          <w:sz w:val="28"/>
          <w:szCs w:val="28"/>
        </w:rPr>
        <w:t>для</w:t>
      </w:r>
      <w:r w:rsidR="00224DC7">
        <w:rPr>
          <w:sz w:val="28"/>
          <w:szCs w:val="28"/>
          <w:lang w:val="ru-RU"/>
        </w:rPr>
        <w:t xml:space="preserve"> </w:t>
      </w:r>
      <w:r w:rsidRPr="0001206E">
        <w:rPr>
          <w:sz w:val="28"/>
          <w:szCs w:val="28"/>
        </w:rPr>
        <w:t>змісту Державних стандартів, які забезпечують їх успішне формування. Формування професійної компетентності необ</w:t>
      </w:r>
      <w:r w:rsidRPr="0001206E">
        <w:rPr>
          <w:sz w:val="28"/>
          <w:szCs w:val="28"/>
        </w:rPr>
        <w:t>хідно проводити з урахуванням вже наявних знань, умінь, навичок і професійно важливих якостей. Водночас, зростаюча потреба в отриманні компетентностей, які все більше впливають на отримання гідної роботи, прискорює проце</w:t>
      </w:r>
      <w:r w:rsidRPr="0001206E">
        <w:rPr>
          <w:sz w:val="28"/>
          <w:szCs w:val="28"/>
        </w:rPr>
        <w:t xml:space="preserve">си стандартизації як в освіті, так і в професійній діяльності. Література </w:t>
      </w:r>
    </w:p>
    <w:p w:rsidR="008630B9" w:rsidRDefault="0001206E" w:rsidP="0001206E">
      <w:pPr>
        <w:spacing w:line="360" w:lineRule="auto"/>
        <w:jc w:val="both"/>
        <w:rPr>
          <w:sz w:val="28"/>
          <w:szCs w:val="28"/>
        </w:rPr>
      </w:pPr>
      <w:r w:rsidRPr="0001206E">
        <w:rPr>
          <w:sz w:val="28"/>
          <w:szCs w:val="28"/>
        </w:rPr>
        <w:t>1. Компетентнісний підхід у вищій освіті: Світовий досвід / Укла</w:t>
      </w:r>
      <w:r w:rsidRPr="0001206E">
        <w:rPr>
          <w:sz w:val="28"/>
          <w:szCs w:val="28"/>
        </w:rPr>
        <w:t>дачі: Антонюк Л.Л., Василькова Н.В., Ільницький Д.О., Кулага І.В., Тур</w:t>
      </w:r>
      <w:r w:rsidRPr="0001206E">
        <w:rPr>
          <w:sz w:val="28"/>
          <w:szCs w:val="28"/>
        </w:rPr>
        <w:t xml:space="preserve">чанінова В.Є. К.: КНЕУ. – 2016. – 66 с. </w:t>
      </w:r>
    </w:p>
    <w:p w:rsidR="008630B9" w:rsidRDefault="0001206E" w:rsidP="0001206E">
      <w:pPr>
        <w:spacing w:line="360" w:lineRule="auto"/>
        <w:jc w:val="both"/>
        <w:rPr>
          <w:sz w:val="28"/>
          <w:szCs w:val="28"/>
        </w:rPr>
      </w:pPr>
      <w:r w:rsidRPr="0001206E">
        <w:rPr>
          <w:sz w:val="28"/>
          <w:szCs w:val="28"/>
        </w:rPr>
        <w:t>2. Луговий В.І. Європейська концепція компетентнісного підходу у вищій школі та проблеми її реалізації в Україні / В.І. Луговий // Педа</w:t>
      </w:r>
      <w:r w:rsidRPr="0001206E">
        <w:rPr>
          <w:sz w:val="28"/>
          <w:szCs w:val="28"/>
        </w:rPr>
        <w:t xml:space="preserve">гогіка і психологія. – 2009. – № 2. – С. 13–26. 32. </w:t>
      </w:r>
    </w:p>
    <w:p w:rsidR="00224DC7" w:rsidRPr="001001AE" w:rsidRDefault="00224DC7" w:rsidP="0001206E">
      <w:pPr>
        <w:spacing w:line="360" w:lineRule="auto"/>
        <w:jc w:val="both"/>
        <w:rPr>
          <w:rFonts w:asciiTheme="minorHAnsi" w:hAnsiTheme="minorHAnsi"/>
          <w:sz w:val="28"/>
          <w:szCs w:val="28"/>
          <w:lang w:val="ru-RU"/>
        </w:rPr>
      </w:pPr>
      <w:r>
        <w:rPr>
          <w:sz w:val="28"/>
          <w:szCs w:val="28"/>
          <w:lang w:val="ru-RU"/>
        </w:rPr>
        <w:lastRenderedPageBreak/>
        <w:t xml:space="preserve">3. </w:t>
      </w:r>
      <w:hyperlink r:id="rId5" w:tooltip="Переглянути публікацію" w:history="1">
        <w:r w:rsidRPr="00224DC7">
          <w:rPr>
            <w:rFonts w:ascii="Helvetica" w:hAnsi="Helvetica"/>
            <w:color w:val="23527C"/>
            <w:sz w:val="21"/>
            <w:szCs w:val="21"/>
            <w:u w:val="single"/>
            <w:shd w:val="clear" w:color="auto" w:fill="F9F9F9"/>
          </w:rPr>
          <w:t>Голованова Т. П. Теоретичні засади професійної компетентності майбутнього викладача вищої школи. </w:t>
        </w:r>
        <w:r w:rsidRPr="00224DC7">
          <w:rPr>
            <w:rFonts w:ascii="Helvetica" w:hAnsi="Helvetica"/>
            <w:i/>
            <w:iCs/>
            <w:color w:val="23527C"/>
            <w:sz w:val="21"/>
            <w:szCs w:val="21"/>
            <w:u w:val="single"/>
            <w:shd w:val="clear" w:color="auto" w:fill="F9F9F9"/>
          </w:rPr>
          <w:t>Вісник Запорізького національного університету. Педагогічні науки.</w:t>
        </w:r>
        <w:r w:rsidRPr="00224DC7">
          <w:rPr>
            <w:rFonts w:ascii="Helvetica" w:hAnsi="Helvetica"/>
            <w:color w:val="23527C"/>
            <w:sz w:val="21"/>
            <w:szCs w:val="21"/>
            <w:u w:val="single"/>
            <w:shd w:val="clear" w:color="auto" w:fill="F9F9F9"/>
          </w:rPr>
          <w:t>. 2018. № №1(30). C. 68 - 76. URL: </w:t>
        </w:r>
      </w:hyperlink>
      <w:hyperlink r:id="rId6" w:history="1">
        <w:r w:rsidRPr="00224DC7">
          <w:rPr>
            <w:rFonts w:ascii="Helvetica" w:hAnsi="Helvetica"/>
            <w:color w:val="337AB7"/>
            <w:sz w:val="21"/>
            <w:szCs w:val="21"/>
            <w:u w:val="single"/>
            <w:shd w:val="clear" w:color="auto" w:fill="F9F9F9"/>
          </w:rPr>
          <w:t>http://nbuv.gov.ua/UJRN/Vznu_ped_2018_1_14</w:t>
        </w:r>
      </w:hyperlink>
      <w:r w:rsidRPr="00224DC7">
        <w:rPr>
          <w:rFonts w:ascii="Helvetica" w:hAnsi="Helvetica"/>
          <w:color w:val="333333"/>
          <w:sz w:val="21"/>
          <w:szCs w:val="21"/>
          <w:shd w:val="clear" w:color="auto" w:fill="F9F9F9"/>
        </w:rPr>
        <w:t>.</w:t>
      </w:r>
    </w:p>
    <w:p w:rsidR="00161665" w:rsidRPr="0001206E" w:rsidRDefault="00224DC7" w:rsidP="0001206E">
      <w:pPr>
        <w:spacing w:line="360" w:lineRule="auto"/>
        <w:jc w:val="both"/>
        <w:rPr>
          <w:sz w:val="28"/>
          <w:szCs w:val="28"/>
        </w:rPr>
      </w:pPr>
      <w:r w:rsidRPr="00224DC7">
        <w:rPr>
          <w:sz w:val="28"/>
          <w:szCs w:val="28"/>
        </w:rPr>
        <w:t xml:space="preserve">3. </w:t>
      </w:r>
      <w:r w:rsidR="0001206E" w:rsidRPr="0001206E">
        <w:rPr>
          <w:sz w:val="28"/>
          <w:szCs w:val="28"/>
        </w:rPr>
        <w:t>Методичні рекомендації розроблення складових галузевих стандартів вищої освіти (компетентнісний підхід)/ Укладачі: В.Л.  Гуло, К.М.  Левківський, Л.О.  Котоловець, Н.І.  Тимошенко, В.П.  Погребняк, А.В. Гончарова, М.О. Присенко, М.В. Симонова, Н.В. Крошко – Інститут інноваційних технологій і змісту освіти МОН України. – Київ: 2013 – 92 с. 33.</w:t>
      </w:r>
    </w:p>
    <w:sectPr w:rsidR="00161665" w:rsidRPr="00012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4B"/>
    <w:rsid w:val="0001206E"/>
    <w:rsid w:val="000455D1"/>
    <w:rsid w:val="001001AE"/>
    <w:rsid w:val="00110824"/>
    <w:rsid w:val="00161665"/>
    <w:rsid w:val="001A614B"/>
    <w:rsid w:val="00224DC7"/>
    <w:rsid w:val="0086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8B5F"/>
  <w15:chartTrackingRefBased/>
  <w15:docId w15:val="{D390CCF0-6F51-4A55-A378-E4542558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buv.gov.ua/UJRN/Vznu_ped_2018_1_14" TargetMode="External"/><Relationship Id="rId5" Type="http://schemas.openxmlformats.org/officeDocument/2006/relationships/hyperlink" Target="https://scientific-rating.znu.edu.ua/index.php?r=publication%2Fview&amp;id=513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2610</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2021-09-27T18:44:00Z</dcterms:created>
  <dcterms:modified xsi:type="dcterms:W3CDTF">2021-09-27T18:44:00Z</dcterms:modified>
</cp:coreProperties>
</file>