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FA0" w:rsidRDefault="00E02FA0" w:rsidP="00E02FA0">
      <w:pPr>
        <w:ind w:firstLine="709"/>
        <w:jc w:val="both"/>
        <w:rPr>
          <w:rFonts w:ascii="Times New Roman" w:hAnsi="Times New Roman" w:cs="Times New Roman"/>
          <w:b/>
          <w:sz w:val="28"/>
          <w:szCs w:val="28"/>
          <w:lang w:val="uk-UA" w:eastAsia="ar-SA"/>
        </w:rPr>
      </w:pPr>
      <w:r>
        <w:rPr>
          <w:rFonts w:ascii="Times New Roman" w:hAnsi="Times New Roman" w:cs="Times New Roman"/>
          <w:b/>
          <w:spacing w:val="-1"/>
          <w:sz w:val="28"/>
          <w:szCs w:val="28"/>
          <w:lang w:val="uk-UA"/>
        </w:rPr>
        <w:t xml:space="preserve">ТЕМА 2. </w:t>
      </w:r>
      <w:r>
        <w:rPr>
          <w:rFonts w:ascii="Times New Roman" w:hAnsi="Times New Roman" w:cs="Times New Roman"/>
          <w:b/>
          <w:sz w:val="28"/>
          <w:szCs w:val="28"/>
          <w:lang w:val="uk-UA" w:eastAsia="ar-SA"/>
        </w:rPr>
        <w:t>Система аналітичної діяльності з питань фінансово-економічної безпеки підприємства</w:t>
      </w:r>
    </w:p>
    <w:p w:rsidR="00E02FA0" w:rsidRDefault="00E02FA0" w:rsidP="00E02FA0">
      <w:pPr>
        <w:ind w:firstLine="709"/>
        <w:jc w:val="center"/>
        <w:rPr>
          <w:rFonts w:ascii="Times New Roman" w:hAnsi="Times New Roman" w:cs="Times New Roman"/>
          <w:spacing w:val="-1"/>
          <w:sz w:val="28"/>
          <w:szCs w:val="28"/>
          <w:lang w:val="uk-UA"/>
        </w:rPr>
      </w:pPr>
      <w:r>
        <w:rPr>
          <w:rFonts w:ascii="Times New Roman" w:hAnsi="Times New Roman" w:cs="Times New Roman"/>
          <w:spacing w:val="-1"/>
          <w:sz w:val="28"/>
          <w:szCs w:val="28"/>
          <w:lang w:val="uk-UA"/>
        </w:rPr>
        <w:t>Теоретичні питання</w:t>
      </w:r>
    </w:p>
    <w:p w:rsidR="00E02FA0" w:rsidRDefault="00E02FA0" w:rsidP="00E02FA0">
      <w:pPr>
        <w:widowControl/>
        <w:numPr>
          <w:ilvl w:val="0"/>
          <w:numId w:val="1"/>
        </w:numPr>
        <w:suppressAutoHyphens/>
        <w:autoSpaceDE/>
        <w:adjustRightInd/>
        <w:ind w:left="0" w:firstLine="709"/>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Мета та модель системи фінансово-економічної безпеки суб'єктів господарської діяльності.</w:t>
      </w:r>
    </w:p>
    <w:p w:rsidR="00E02FA0" w:rsidRDefault="00E02FA0" w:rsidP="00E02FA0">
      <w:pPr>
        <w:widowControl/>
        <w:numPr>
          <w:ilvl w:val="0"/>
          <w:numId w:val="1"/>
        </w:numPr>
        <w:suppressAutoHyphens/>
        <w:autoSpaceDE/>
        <w:adjustRightInd/>
        <w:ind w:left="0" w:firstLine="709"/>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Концепція економічної безпеки підприємства: призначення та зміст.</w:t>
      </w:r>
    </w:p>
    <w:p w:rsidR="00E02FA0" w:rsidRDefault="00E02FA0" w:rsidP="00E02FA0">
      <w:pPr>
        <w:ind w:firstLine="709"/>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Основні принципи побудови та організації системи забезпечення фінансово-економічної безпеки підприємства.</w:t>
      </w:r>
    </w:p>
    <w:p w:rsidR="00E02FA0" w:rsidRDefault="00E02FA0" w:rsidP="00E02FA0">
      <w:pPr>
        <w:ind w:firstLine="709"/>
        <w:jc w:val="both"/>
        <w:rPr>
          <w:rFonts w:ascii="Times New Roman" w:hAnsi="Times New Roman" w:cs="Times New Roman"/>
          <w:b/>
          <w:bCs/>
          <w:sz w:val="28"/>
          <w:szCs w:val="28"/>
          <w:lang w:val="uk-UA"/>
        </w:rPr>
      </w:pPr>
      <w:r>
        <w:rPr>
          <w:rFonts w:ascii="Times New Roman" w:hAnsi="Times New Roman" w:cs="Times New Roman"/>
          <w:b/>
          <w:spacing w:val="-1"/>
          <w:sz w:val="28"/>
          <w:szCs w:val="28"/>
          <w:lang w:val="uk-UA"/>
        </w:rPr>
        <w:t>Література:</w:t>
      </w:r>
      <w:r>
        <w:rPr>
          <w:rFonts w:ascii="Times New Roman" w:hAnsi="Times New Roman" w:cs="Times New Roman"/>
          <w:b/>
          <w:sz w:val="28"/>
          <w:szCs w:val="28"/>
          <w:lang w:val="uk-UA"/>
        </w:rPr>
        <w:t xml:space="preserve"> </w:t>
      </w:r>
      <w:r>
        <w:rPr>
          <w:rFonts w:ascii="Times New Roman" w:hAnsi="Times New Roman" w:cs="Times New Roman"/>
          <w:b/>
          <w:spacing w:val="-1"/>
          <w:sz w:val="28"/>
          <w:szCs w:val="28"/>
          <w:lang w:val="uk-UA"/>
        </w:rPr>
        <w:t>1,</w:t>
      </w:r>
      <w:r>
        <w:rPr>
          <w:rFonts w:ascii="Times New Roman" w:hAnsi="Times New Roman" w:cs="Times New Roman"/>
          <w:b/>
          <w:spacing w:val="2"/>
          <w:sz w:val="28"/>
          <w:szCs w:val="28"/>
          <w:lang w:val="uk-UA"/>
        </w:rPr>
        <w:t xml:space="preserve"> </w:t>
      </w:r>
      <w:r>
        <w:rPr>
          <w:rFonts w:ascii="Times New Roman" w:hAnsi="Times New Roman" w:cs="Times New Roman"/>
          <w:b/>
          <w:spacing w:val="-1"/>
          <w:sz w:val="28"/>
          <w:szCs w:val="28"/>
          <w:lang w:val="uk-UA"/>
        </w:rPr>
        <w:t>4,</w:t>
      </w:r>
      <w:r>
        <w:rPr>
          <w:rFonts w:ascii="Times New Roman" w:hAnsi="Times New Roman" w:cs="Times New Roman"/>
          <w:b/>
          <w:spacing w:val="2"/>
          <w:sz w:val="28"/>
          <w:szCs w:val="28"/>
          <w:lang w:val="uk-UA"/>
        </w:rPr>
        <w:t xml:space="preserve"> </w:t>
      </w:r>
      <w:r>
        <w:rPr>
          <w:rFonts w:ascii="Times New Roman" w:hAnsi="Times New Roman" w:cs="Times New Roman"/>
          <w:b/>
          <w:spacing w:val="-1"/>
          <w:sz w:val="28"/>
          <w:szCs w:val="28"/>
          <w:lang w:val="uk-UA"/>
        </w:rPr>
        <w:t>9, 17.</w:t>
      </w:r>
    </w:p>
    <w:p w:rsidR="00D0719D" w:rsidRDefault="00D0719D" w:rsidP="00D0719D">
      <w:pPr>
        <w:ind w:firstLine="709"/>
        <w:jc w:val="center"/>
        <w:rPr>
          <w:rFonts w:ascii="Times New Roman" w:hAnsi="Times New Roman"/>
          <w:b/>
          <w:sz w:val="28"/>
          <w:szCs w:val="28"/>
          <w:lang w:val="uk-UA"/>
        </w:rPr>
      </w:pPr>
      <w:r>
        <w:rPr>
          <w:rFonts w:ascii="Times New Roman" w:hAnsi="Times New Roman"/>
          <w:b/>
          <w:sz w:val="28"/>
          <w:szCs w:val="28"/>
          <w:lang w:val="uk-UA"/>
        </w:rPr>
        <w:t xml:space="preserve">ЗАДАЧА </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Оцінити рівень фінансово-економічної безпеки підприємства за двома підходами:</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1) порівняння узагальнених індикаторів досліджуваного та «еталонного» підприємств на основі віддалей між локальними показниками системи фінансової безпеки;</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 xml:space="preserve">2) порівняння фактичного і нормативного значень інтегрального </w:t>
      </w:r>
      <w:proofErr w:type="spellStart"/>
      <w:r>
        <w:rPr>
          <w:rFonts w:ascii="Times New Roman" w:hAnsi="Times New Roman"/>
          <w:sz w:val="28"/>
          <w:szCs w:val="28"/>
          <w:lang w:val="uk-UA"/>
        </w:rPr>
        <w:t>індикатора,тобто</w:t>
      </w:r>
      <w:proofErr w:type="spellEnd"/>
      <w:r>
        <w:rPr>
          <w:rFonts w:ascii="Times New Roman" w:hAnsi="Times New Roman"/>
          <w:sz w:val="28"/>
          <w:szCs w:val="28"/>
          <w:lang w:val="uk-UA"/>
        </w:rPr>
        <w:t xml:space="preserve"> дослідження динаміки рівня фінансової безпеки підприємства й можливості її покращення.</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center"/>
        <w:rPr>
          <w:rFonts w:ascii="Times New Roman" w:hAnsi="Times New Roman"/>
          <w:b/>
          <w:sz w:val="28"/>
          <w:szCs w:val="28"/>
          <w:lang w:val="uk-UA"/>
        </w:rPr>
      </w:pPr>
      <w:r>
        <w:rPr>
          <w:rFonts w:ascii="Times New Roman" w:hAnsi="Times New Roman"/>
          <w:b/>
          <w:sz w:val="28"/>
          <w:szCs w:val="28"/>
          <w:lang w:val="uk-UA"/>
        </w:rPr>
        <w:t>1 підхід</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Згідно з першим підходом визначення рівня фінансової безпеки здійснюють на основі відстані (відхилення) інтегрального показника оцінювання фінансового стану досліджуваного підприємства від нормативного значення показника рівня фінансової безпеки «еталонного» підприємства.</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Міра відстані рівня фінансової безпеки досліджуваного підприємства від «еталонного» дорівнює:</w:t>
      </w:r>
    </w:p>
    <w:p w:rsidR="00D0719D" w:rsidRDefault="00D0719D" w:rsidP="00D0719D">
      <w:pPr>
        <w:ind w:firstLine="709"/>
        <w:jc w:val="both"/>
        <w:rPr>
          <w:rFonts w:ascii="Times New Roman" w:hAnsi="Times New Roman"/>
          <w:sz w:val="28"/>
          <w:szCs w:val="28"/>
          <w:lang w:val="uk-UA"/>
        </w:rPr>
      </w:pPr>
    </w:p>
    <w:p w:rsidR="00D0719D" w:rsidRDefault="00156AC9" w:rsidP="00D0719D">
      <w:pPr>
        <w:ind w:firstLine="709"/>
        <w:jc w:val="right"/>
        <w:rPr>
          <w:rFonts w:ascii="Times New Roman" w:hAnsi="Times New Roman"/>
          <w:sz w:val="28"/>
          <w:szCs w:val="28"/>
          <w:lang w:val="uk-UA"/>
        </w:rPr>
      </w:pPr>
      <w:r>
        <w:rPr>
          <w:noProof/>
        </w:rPr>
        <w:drawing>
          <wp:inline distT="0" distB="0" distL="0" distR="0" wp14:anchorId="1CFFEDD4" wp14:editId="7A0DD017">
            <wp:extent cx="2122823" cy="736846"/>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50214" t="45699" r="31693" b="43136"/>
                    <a:stretch/>
                  </pic:blipFill>
                  <pic:spPr bwMode="auto">
                    <a:xfrm>
                      <a:off x="0" y="0"/>
                      <a:ext cx="2201910" cy="764298"/>
                    </a:xfrm>
                    <a:prstGeom prst="rect">
                      <a:avLst/>
                    </a:prstGeom>
                    <a:ln>
                      <a:noFill/>
                    </a:ln>
                    <a:extLst>
                      <a:ext uri="{53640926-AAD7-44D8-BBD7-CCE9431645EC}">
                        <a14:shadowObscured xmlns:a14="http://schemas.microsoft.com/office/drawing/2010/main"/>
                      </a:ext>
                    </a:extLst>
                  </pic:spPr>
                </pic:pic>
              </a:graphicData>
            </a:graphic>
          </wp:inline>
        </w:drawing>
      </w:r>
      <w:r w:rsidR="00D0719D">
        <w:rPr>
          <w:rFonts w:ascii="Times New Roman" w:hAnsi="Times New Roman"/>
          <w:sz w:val="28"/>
          <w:szCs w:val="28"/>
          <w:lang w:val="uk-UA"/>
        </w:rPr>
        <w:t>,                                          (1)</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 xml:space="preserve">де </w:t>
      </w:r>
      <w:r>
        <w:rPr>
          <w:rFonts w:ascii="Times New Roman" w:hAnsi="Times New Roman"/>
          <w:i/>
          <w:sz w:val="28"/>
          <w:szCs w:val="28"/>
          <w:lang w:val="uk-UA"/>
        </w:rPr>
        <w:t>d</w:t>
      </w:r>
      <w:r>
        <w:rPr>
          <w:rFonts w:ascii="Times New Roman" w:hAnsi="Times New Roman"/>
          <w:sz w:val="28"/>
          <w:szCs w:val="28"/>
          <w:lang w:val="uk-UA"/>
        </w:rPr>
        <w:t>(</w:t>
      </w:r>
      <w:proofErr w:type="spellStart"/>
      <w:r>
        <w:rPr>
          <w:rFonts w:ascii="Times New Roman" w:hAnsi="Times New Roman"/>
          <w:i/>
          <w:sz w:val="28"/>
          <w:szCs w:val="28"/>
          <w:lang w:val="uk-UA"/>
        </w:rPr>
        <w:t>A</w:t>
      </w:r>
      <w:r>
        <w:rPr>
          <w:rFonts w:ascii="Times New Roman" w:hAnsi="Times New Roman"/>
          <w:i/>
          <w:sz w:val="28"/>
          <w:szCs w:val="28"/>
          <w:vertAlign w:val="subscript"/>
          <w:lang w:val="uk-UA"/>
        </w:rPr>
        <w:t>i</w:t>
      </w:r>
      <w:proofErr w:type="spellEnd"/>
      <w:r>
        <w:rPr>
          <w:rFonts w:ascii="Times New Roman" w:hAnsi="Times New Roman"/>
          <w:sz w:val="28"/>
          <w:szCs w:val="28"/>
          <w:lang w:val="uk-UA"/>
        </w:rPr>
        <w:t xml:space="preserve">, </w:t>
      </w:r>
      <w:proofErr w:type="spellStart"/>
      <w:r>
        <w:rPr>
          <w:rFonts w:ascii="Times New Roman" w:hAnsi="Times New Roman"/>
          <w:i/>
          <w:sz w:val="28"/>
          <w:szCs w:val="28"/>
          <w:lang w:val="uk-UA"/>
        </w:rPr>
        <w:t>A</w:t>
      </w:r>
      <w:r>
        <w:rPr>
          <w:rFonts w:ascii="Times New Roman" w:hAnsi="Times New Roman"/>
          <w:i/>
          <w:sz w:val="28"/>
          <w:szCs w:val="28"/>
          <w:vertAlign w:val="subscript"/>
          <w:lang w:val="uk-UA"/>
        </w:rPr>
        <w:t>о</w:t>
      </w:r>
      <w:proofErr w:type="spellEnd"/>
      <w:r>
        <w:rPr>
          <w:rFonts w:ascii="Times New Roman" w:hAnsi="Times New Roman"/>
          <w:sz w:val="28"/>
          <w:szCs w:val="28"/>
          <w:lang w:val="uk-UA"/>
        </w:rPr>
        <w:t>) – інтегральна міра відстані рівня фінансового стану підприємства від «еталонного»;</w:t>
      </w:r>
    </w:p>
    <w:p w:rsidR="00D0719D" w:rsidRDefault="00D0719D" w:rsidP="00D0719D">
      <w:pPr>
        <w:ind w:firstLine="709"/>
        <w:jc w:val="both"/>
        <w:rPr>
          <w:rFonts w:ascii="Times New Roman" w:hAnsi="Times New Roman"/>
          <w:sz w:val="28"/>
          <w:szCs w:val="28"/>
          <w:lang w:val="uk-UA"/>
        </w:rPr>
      </w:pPr>
      <w:proofErr w:type="spellStart"/>
      <w:r>
        <w:rPr>
          <w:rFonts w:ascii="Times New Roman" w:hAnsi="Times New Roman"/>
          <w:i/>
          <w:sz w:val="28"/>
          <w:szCs w:val="28"/>
          <w:lang w:val="uk-UA"/>
        </w:rPr>
        <w:t>х</w:t>
      </w:r>
      <w:r>
        <w:rPr>
          <w:rFonts w:ascii="Times New Roman" w:hAnsi="Times New Roman"/>
          <w:i/>
          <w:sz w:val="28"/>
          <w:szCs w:val="28"/>
          <w:vertAlign w:val="subscript"/>
          <w:lang w:val="uk-UA"/>
        </w:rPr>
        <w:t>ij</w:t>
      </w:r>
      <w:proofErr w:type="spellEnd"/>
      <w:r>
        <w:rPr>
          <w:rFonts w:ascii="Times New Roman" w:hAnsi="Times New Roman"/>
          <w:sz w:val="28"/>
          <w:szCs w:val="28"/>
          <w:lang w:val="uk-UA"/>
        </w:rPr>
        <w:t xml:space="preserve"> – значення </w:t>
      </w:r>
      <w:r>
        <w:rPr>
          <w:rFonts w:ascii="Times New Roman" w:hAnsi="Times New Roman"/>
          <w:i/>
          <w:sz w:val="28"/>
          <w:szCs w:val="28"/>
          <w:lang w:val="uk-UA"/>
        </w:rPr>
        <w:t>j</w:t>
      </w:r>
      <w:r>
        <w:rPr>
          <w:rFonts w:ascii="Times New Roman" w:hAnsi="Times New Roman"/>
          <w:sz w:val="28"/>
          <w:szCs w:val="28"/>
          <w:lang w:val="uk-UA"/>
        </w:rPr>
        <w:t xml:space="preserve">-го показника для </w:t>
      </w:r>
      <w:r>
        <w:rPr>
          <w:rFonts w:ascii="Times New Roman" w:hAnsi="Times New Roman"/>
          <w:i/>
          <w:sz w:val="28"/>
          <w:szCs w:val="28"/>
          <w:lang w:val="uk-UA"/>
        </w:rPr>
        <w:t>i</w:t>
      </w:r>
      <w:r>
        <w:rPr>
          <w:rFonts w:ascii="Times New Roman" w:hAnsi="Times New Roman"/>
          <w:sz w:val="28"/>
          <w:szCs w:val="28"/>
          <w:lang w:val="uk-UA"/>
        </w:rPr>
        <w:t>-го підприємства;</w:t>
      </w:r>
    </w:p>
    <w:p w:rsidR="00D0719D" w:rsidRDefault="00D0719D" w:rsidP="00D0719D">
      <w:pPr>
        <w:ind w:firstLine="709"/>
        <w:jc w:val="both"/>
        <w:rPr>
          <w:rFonts w:ascii="Times New Roman" w:hAnsi="Times New Roman"/>
          <w:sz w:val="28"/>
          <w:szCs w:val="28"/>
          <w:lang w:val="uk-UA"/>
        </w:rPr>
      </w:pPr>
      <w:proofErr w:type="spellStart"/>
      <w:r>
        <w:rPr>
          <w:rFonts w:ascii="Times New Roman" w:hAnsi="Times New Roman"/>
          <w:i/>
          <w:sz w:val="28"/>
          <w:szCs w:val="28"/>
          <w:lang w:val="uk-UA"/>
        </w:rPr>
        <w:t>х</w:t>
      </w:r>
      <w:r>
        <w:rPr>
          <w:rFonts w:ascii="Times New Roman" w:hAnsi="Times New Roman"/>
          <w:i/>
          <w:sz w:val="28"/>
          <w:szCs w:val="28"/>
          <w:vertAlign w:val="subscript"/>
          <w:lang w:val="uk-UA"/>
        </w:rPr>
        <w:t>оj</w:t>
      </w:r>
      <w:proofErr w:type="spellEnd"/>
      <w:r>
        <w:rPr>
          <w:rFonts w:ascii="Times New Roman" w:hAnsi="Times New Roman"/>
          <w:i/>
          <w:sz w:val="28"/>
          <w:szCs w:val="28"/>
          <w:lang w:val="uk-UA"/>
        </w:rPr>
        <w:t xml:space="preserve"> </w:t>
      </w:r>
      <w:r>
        <w:rPr>
          <w:rFonts w:ascii="Times New Roman" w:hAnsi="Times New Roman"/>
          <w:sz w:val="28"/>
          <w:szCs w:val="28"/>
          <w:lang w:val="uk-UA"/>
        </w:rPr>
        <w:t xml:space="preserve">– значення </w:t>
      </w:r>
      <w:r>
        <w:rPr>
          <w:rFonts w:ascii="Times New Roman" w:hAnsi="Times New Roman"/>
          <w:i/>
          <w:sz w:val="28"/>
          <w:szCs w:val="28"/>
          <w:lang w:val="uk-UA"/>
        </w:rPr>
        <w:t>j</w:t>
      </w:r>
      <w:r>
        <w:rPr>
          <w:rFonts w:ascii="Times New Roman" w:hAnsi="Times New Roman"/>
          <w:sz w:val="28"/>
          <w:szCs w:val="28"/>
          <w:lang w:val="uk-UA"/>
        </w:rPr>
        <w:t>-го показника для «еталонного» підприємства (нормативне значення показника).</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Нормативні значення показників можна отримати за допомогою методів експертного оцінювання або з наукових джерел.</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У нашому випадку нормативні значення вже розраховані (табл. 1).</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right"/>
        <w:rPr>
          <w:rFonts w:ascii="Times New Roman" w:hAnsi="Times New Roman"/>
          <w:sz w:val="28"/>
          <w:szCs w:val="28"/>
          <w:lang w:val="uk-UA"/>
        </w:rPr>
      </w:pPr>
      <w:r>
        <w:rPr>
          <w:rFonts w:ascii="Times New Roman" w:hAnsi="Times New Roman"/>
          <w:sz w:val="28"/>
          <w:szCs w:val="28"/>
          <w:lang w:val="uk-UA"/>
        </w:rPr>
        <w:lastRenderedPageBreak/>
        <w:t>Таблиця 1</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Нормативні індикатори оцінювання фінансового стану підприємства</w:t>
      </w:r>
    </w:p>
    <w:tbl>
      <w:tblPr>
        <w:tblW w:w="0" w:type="dxa"/>
        <w:tblInd w:w="98" w:type="dxa"/>
        <w:tblLayout w:type="fixed"/>
        <w:tblCellMar>
          <w:left w:w="0" w:type="dxa"/>
          <w:right w:w="0" w:type="dxa"/>
        </w:tblCellMar>
        <w:tblLook w:val="01E0" w:firstRow="1" w:lastRow="1" w:firstColumn="1" w:lastColumn="1" w:noHBand="0" w:noVBand="0"/>
      </w:tblPr>
      <w:tblGrid>
        <w:gridCol w:w="627"/>
        <w:gridCol w:w="3780"/>
        <w:gridCol w:w="3716"/>
        <w:gridCol w:w="1504"/>
      </w:tblGrid>
      <w:tr w:rsidR="00D0719D" w:rsidTr="00D0719D">
        <w:trPr>
          <w:trHeight w:hRule="exact" w:val="745"/>
        </w:trPr>
        <w:tc>
          <w:tcPr>
            <w:tcW w:w="4407" w:type="dxa"/>
            <w:gridSpan w:val="2"/>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Показники</w:t>
            </w:r>
          </w:p>
        </w:tc>
        <w:tc>
          <w:tcPr>
            <w:tcW w:w="3716"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Методики розрахунків</w:t>
            </w:r>
          </w:p>
        </w:tc>
        <w:tc>
          <w:tcPr>
            <w:tcW w:w="1504"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Нормативні значення</w:t>
            </w:r>
          </w:p>
        </w:tc>
      </w:tr>
      <w:tr w:rsidR="00D0719D" w:rsidTr="00D0719D">
        <w:trPr>
          <w:trHeight w:hRule="exact" w:val="1262"/>
        </w:trPr>
        <w:tc>
          <w:tcPr>
            <w:tcW w:w="627"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jc w:val="center"/>
              <w:rPr>
                <w:rFonts w:ascii="Times New Roman" w:hAnsi="Times New Roman"/>
                <w:i/>
                <w:sz w:val="28"/>
                <w:szCs w:val="28"/>
                <w:lang w:val="uk-UA"/>
              </w:rPr>
            </w:pPr>
            <w:r>
              <w:rPr>
                <w:rFonts w:ascii="Times New Roman" w:hAnsi="Times New Roman"/>
                <w:i/>
                <w:sz w:val="28"/>
                <w:szCs w:val="28"/>
                <w:lang w:val="uk-UA"/>
              </w:rPr>
              <w:t>х</w:t>
            </w:r>
            <w:r>
              <w:rPr>
                <w:rFonts w:ascii="Times New Roman" w:hAnsi="Times New Roman"/>
                <w:sz w:val="28"/>
                <w:szCs w:val="28"/>
                <w:vertAlign w:val="subscript"/>
                <w:lang w:val="uk-UA"/>
              </w:rPr>
              <w:t>1</w:t>
            </w:r>
          </w:p>
        </w:tc>
        <w:tc>
          <w:tcPr>
            <w:tcW w:w="378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180" w:right="180"/>
              <w:jc w:val="both"/>
              <w:rPr>
                <w:rFonts w:ascii="Times New Roman" w:hAnsi="Times New Roman"/>
                <w:sz w:val="28"/>
                <w:szCs w:val="28"/>
                <w:lang w:val="uk-UA"/>
              </w:rPr>
            </w:pPr>
            <w:r>
              <w:rPr>
                <w:rFonts w:ascii="Times New Roman" w:hAnsi="Times New Roman"/>
                <w:sz w:val="28"/>
                <w:szCs w:val="28"/>
                <w:lang w:val="uk-UA"/>
              </w:rPr>
              <w:t>Коефіцієнт співвідношення залучених і власних коштів</w:t>
            </w:r>
          </w:p>
        </w:tc>
        <w:tc>
          <w:tcPr>
            <w:tcW w:w="3716"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180"/>
              <w:jc w:val="both"/>
              <w:rPr>
                <w:rFonts w:ascii="Times New Roman" w:hAnsi="Times New Roman"/>
                <w:sz w:val="28"/>
                <w:szCs w:val="28"/>
                <w:lang w:val="uk-UA"/>
              </w:rPr>
            </w:pPr>
            <w:r>
              <w:rPr>
                <w:rFonts w:ascii="Times New Roman" w:hAnsi="Times New Roman"/>
                <w:sz w:val="28"/>
                <w:szCs w:val="28"/>
                <w:lang w:val="uk-UA"/>
              </w:rPr>
              <w:t xml:space="preserve">Позичкові кошти / </w:t>
            </w:r>
          </w:p>
          <w:p w:rsidR="00D0719D" w:rsidRDefault="00D0719D" w:rsidP="00D0719D">
            <w:pPr>
              <w:ind w:left="180"/>
              <w:jc w:val="both"/>
              <w:rPr>
                <w:rFonts w:ascii="Times New Roman" w:hAnsi="Times New Roman"/>
                <w:sz w:val="28"/>
                <w:szCs w:val="28"/>
                <w:lang w:val="uk-UA"/>
              </w:rPr>
            </w:pPr>
            <w:r>
              <w:rPr>
                <w:rFonts w:ascii="Times New Roman" w:hAnsi="Times New Roman"/>
                <w:sz w:val="28"/>
                <w:szCs w:val="28"/>
                <w:lang w:val="uk-UA"/>
              </w:rPr>
              <w:t>Власні кошти</w:t>
            </w:r>
          </w:p>
        </w:tc>
        <w:tc>
          <w:tcPr>
            <w:tcW w:w="1504"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1</w:t>
            </w:r>
          </w:p>
        </w:tc>
      </w:tr>
      <w:tr w:rsidR="00D0719D" w:rsidTr="00D0719D">
        <w:trPr>
          <w:trHeight w:hRule="exact" w:val="734"/>
        </w:trPr>
        <w:tc>
          <w:tcPr>
            <w:tcW w:w="627"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jc w:val="center"/>
              <w:rPr>
                <w:rFonts w:ascii="Times New Roman" w:hAnsi="Times New Roman"/>
                <w:i/>
                <w:sz w:val="28"/>
                <w:szCs w:val="28"/>
                <w:lang w:val="uk-UA"/>
              </w:rPr>
            </w:pPr>
            <w:r>
              <w:rPr>
                <w:rFonts w:ascii="Times New Roman" w:hAnsi="Times New Roman"/>
                <w:i/>
                <w:sz w:val="28"/>
                <w:szCs w:val="28"/>
                <w:lang w:val="uk-UA"/>
              </w:rPr>
              <w:t>х</w:t>
            </w:r>
            <w:r>
              <w:rPr>
                <w:rFonts w:ascii="Times New Roman" w:hAnsi="Times New Roman"/>
                <w:sz w:val="28"/>
                <w:szCs w:val="28"/>
                <w:vertAlign w:val="subscript"/>
                <w:lang w:val="uk-UA"/>
              </w:rPr>
              <w:t>2</w:t>
            </w:r>
          </w:p>
        </w:tc>
        <w:tc>
          <w:tcPr>
            <w:tcW w:w="378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180" w:right="180"/>
              <w:jc w:val="both"/>
              <w:rPr>
                <w:rFonts w:ascii="Times New Roman" w:hAnsi="Times New Roman"/>
                <w:sz w:val="28"/>
                <w:szCs w:val="28"/>
                <w:lang w:val="uk-UA"/>
              </w:rPr>
            </w:pPr>
            <w:r>
              <w:rPr>
                <w:rFonts w:ascii="Times New Roman" w:hAnsi="Times New Roman"/>
                <w:sz w:val="28"/>
                <w:szCs w:val="28"/>
                <w:lang w:val="uk-UA"/>
              </w:rPr>
              <w:t>Коефіцієнт маневреності власних коштів</w:t>
            </w:r>
          </w:p>
        </w:tc>
        <w:tc>
          <w:tcPr>
            <w:tcW w:w="3716"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180" w:right="116"/>
              <w:jc w:val="both"/>
              <w:rPr>
                <w:rFonts w:ascii="Times New Roman" w:hAnsi="Times New Roman"/>
                <w:sz w:val="28"/>
                <w:szCs w:val="28"/>
                <w:lang w:val="uk-UA"/>
              </w:rPr>
            </w:pPr>
            <w:r>
              <w:rPr>
                <w:rFonts w:ascii="Times New Roman" w:hAnsi="Times New Roman"/>
                <w:sz w:val="28"/>
                <w:szCs w:val="28"/>
                <w:lang w:val="uk-UA"/>
              </w:rPr>
              <w:t>Грошові засоби / Капітал, що функціонує</w:t>
            </w:r>
          </w:p>
        </w:tc>
        <w:tc>
          <w:tcPr>
            <w:tcW w:w="1504"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0,3</w:t>
            </w:r>
          </w:p>
        </w:tc>
      </w:tr>
    </w:tbl>
    <w:p w:rsidR="00D0719D" w:rsidRDefault="00D0719D" w:rsidP="00D0719D">
      <w:pPr>
        <w:ind w:firstLine="709"/>
        <w:jc w:val="right"/>
        <w:rPr>
          <w:rFonts w:ascii="Times New Roman" w:hAnsi="Times New Roman"/>
          <w:sz w:val="28"/>
          <w:szCs w:val="28"/>
          <w:lang w:val="uk-UA" w:eastAsia="en-US"/>
        </w:rPr>
      </w:pPr>
      <w:r>
        <w:rPr>
          <w:rFonts w:ascii="Times New Roman" w:hAnsi="Times New Roman"/>
          <w:sz w:val="28"/>
          <w:szCs w:val="28"/>
          <w:lang w:val="uk-UA"/>
        </w:rPr>
        <w:t>Продовження таблиці 1</w:t>
      </w:r>
    </w:p>
    <w:tbl>
      <w:tblPr>
        <w:tblW w:w="0" w:type="dxa"/>
        <w:tblInd w:w="98" w:type="dxa"/>
        <w:tblLayout w:type="fixed"/>
        <w:tblCellMar>
          <w:left w:w="0" w:type="dxa"/>
          <w:right w:w="0" w:type="dxa"/>
        </w:tblCellMar>
        <w:tblLook w:val="01E0" w:firstRow="1" w:lastRow="1" w:firstColumn="1" w:lastColumn="1" w:noHBand="0" w:noVBand="0"/>
      </w:tblPr>
      <w:tblGrid>
        <w:gridCol w:w="627"/>
        <w:gridCol w:w="3780"/>
        <w:gridCol w:w="3716"/>
        <w:gridCol w:w="1504"/>
      </w:tblGrid>
      <w:tr w:rsidR="00D0719D" w:rsidTr="00D0719D">
        <w:trPr>
          <w:trHeight w:hRule="exact" w:val="945"/>
        </w:trPr>
        <w:tc>
          <w:tcPr>
            <w:tcW w:w="4407" w:type="dxa"/>
            <w:gridSpan w:val="2"/>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Показники</w:t>
            </w:r>
          </w:p>
        </w:tc>
        <w:tc>
          <w:tcPr>
            <w:tcW w:w="3716"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Методики розрахунків</w:t>
            </w:r>
          </w:p>
        </w:tc>
        <w:tc>
          <w:tcPr>
            <w:tcW w:w="1504"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Нормативні значення</w:t>
            </w:r>
          </w:p>
        </w:tc>
      </w:tr>
      <w:tr w:rsidR="00D0719D" w:rsidTr="00D0719D">
        <w:trPr>
          <w:trHeight w:hRule="exact" w:val="1614"/>
        </w:trPr>
        <w:tc>
          <w:tcPr>
            <w:tcW w:w="627"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jc w:val="center"/>
              <w:rPr>
                <w:rFonts w:ascii="Times New Roman" w:hAnsi="Times New Roman"/>
                <w:i/>
                <w:sz w:val="28"/>
                <w:szCs w:val="28"/>
                <w:lang w:val="uk-UA"/>
              </w:rPr>
            </w:pPr>
            <w:r>
              <w:rPr>
                <w:rFonts w:ascii="Times New Roman" w:hAnsi="Times New Roman"/>
                <w:i/>
                <w:sz w:val="28"/>
                <w:szCs w:val="28"/>
                <w:lang w:val="uk-UA"/>
              </w:rPr>
              <w:t>х</w:t>
            </w:r>
            <w:r>
              <w:rPr>
                <w:rFonts w:ascii="Times New Roman" w:hAnsi="Times New Roman"/>
                <w:sz w:val="28"/>
                <w:szCs w:val="28"/>
                <w:vertAlign w:val="subscript"/>
                <w:lang w:val="uk-UA"/>
              </w:rPr>
              <w:t>3</w:t>
            </w:r>
          </w:p>
        </w:tc>
        <w:tc>
          <w:tcPr>
            <w:tcW w:w="378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180" w:right="180"/>
              <w:jc w:val="both"/>
              <w:rPr>
                <w:rFonts w:ascii="Times New Roman" w:hAnsi="Times New Roman"/>
                <w:sz w:val="28"/>
                <w:szCs w:val="28"/>
                <w:lang w:val="uk-UA"/>
              </w:rPr>
            </w:pPr>
            <w:r>
              <w:rPr>
                <w:rFonts w:ascii="Times New Roman" w:hAnsi="Times New Roman"/>
                <w:sz w:val="28"/>
                <w:szCs w:val="28"/>
                <w:lang w:val="uk-UA"/>
              </w:rPr>
              <w:t>Коефіцієнт реальної вартості основних засобів у вартості майна підприємства</w:t>
            </w:r>
          </w:p>
        </w:tc>
        <w:tc>
          <w:tcPr>
            <w:tcW w:w="3716"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180" w:right="116"/>
              <w:jc w:val="both"/>
              <w:rPr>
                <w:rFonts w:ascii="Times New Roman" w:hAnsi="Times New Roman"/>
                <w:sz w:val="28"/>
                <w:szCs w:val="28"/>
                <w:lang w:val="uk-UA"/>
              </w:rPr>
            </w:pPr>
            <w:r>
              <w:rPr>
                <w:rFonts w:ascii="Times New Roman" w:hAnsi="Times New Roman"/>
                <w:sz w:val="28"/>
                <w:szCs w:val="28"/>
                <w:lang w:val="uk-UA"/>
              </w:rPr>
              <w:t>(Вартість основних засобів + сума нагромадженої амортизації) / Вартість майна підприємства за підсумком нетто-балансу</w:t>
            </w:r>
          </w:p>
        </w:tc>
        <w:tc>
          <w:tcPr>
            <w:tcW w:w="1504"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0,3</w:t>
            </w:r>
          </w:p>
        </w:tc>
      </w:tr>
      <w:tr w:rsidR="00D0719D" w:rsidTr="00D0719D">
        <w:trPr>
          <w:trHeight w:hRule="exact" w:val="761"/>
        </w:trPr>
        <w:tc>
          <w:tcPr>
            <w:tcW w:w="627"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jc w:val="center"/>
              <w:rPr>
                <w:rFonts w:ascii="Times New Roman" w:hAnsi="Times New Roman"/>
                <w:i/>
                <w:sz w:val="28"/>
                <w:szCs w:val="28"/>
                <w:lang w:val="uk-UA"/>
              </w:rPr>
            </w:pPr>
            <w:r>
              <w:rPr>
                <w:rFonts w:ascii="Times New Roman" w:hAnsi="Times New Roman"/>
                <w:i/>
                <w:sz w:val="28"/>
                <w:szCs w:val="28"/>
                <w:lang w:val="uk-UA"/>
              </w:rPr>
              <w:t>х</w:t>
            </w:r>
            <w:r>
              <w:rPr>
                <w:rFonts w:ascii="Times New Roman" w:hAnsi="Times New Roman"/>
                <w:sz w:val="28"/>
                <w:szCs w:val="28"/>
                <w:vertAlign w:val="subscript"/>
                <w:lang w:val="uk-UA"/>
              </w:rPr>
              <w:t>4</w:t>
            </w:r>
          </w:p>
        </w:tc>
        <w:tc>
          <w:tcPr>
            <w:tcW w:w="378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180" w:right="180"/>
              <w:jc w:val="both"/>
              <w:rPr>
                <w:rFonts w:ascii="Times New Roman" w:hAnsi="Times New Roman"/>
                <w:sz w:val="28"/>
                <w:szCs w:val="28"/>
                <w:lang w:val="uk-UA"/>
              </w:rPr>
            </w:pPr>
            <w:r>
              <w:rPr>
                <w:rFonts w:ascii="Times New Roman" w:hAnsi="Times New Roman"/>
                <w:sz w:val="28"/>
                <w:szCs w:val="28"/>
                <w:lang w:val="uk-UA"/>
              </w:rPr>
              <w:t>Загальний коефіцієнт покриття</w:t>
            </w:r>
          </w:p>
        </w:tc>
        <w:tc>
          <w:tcPr>
            <w:tcW w:w="3716"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180" w:right="116"/>
              <w:jc w:val="both"/>
              <w:rPr>
                <w:rFonts w:ascii="Times New Roman" w:hAnsi="Times New Roman"/>
                <w:sz w:val="28"/>
                <w:szCs w:val="28"/>
                <w:lang w:val="uk-UA"/>
              </w:rPr>
            </w:pPr>
            <w:r>
              <w:rPr>
                <w:rFonts w:ascii="Times New Roman" w:hAnsi="Times New Roman"/>
                <w:sz w:val="28"/>
                <w:szCs w:val="28"/>
                <w:lang w:val="uk-UA"/>
              </w:rPr>
              <w:t>Поточні активи / Поточні зобов’язання</w:t>
            </w:r>
          </w:p>
        </w:tc>
        <w:tc>
          <w:tcPr>
            <w:tcW w:w="1504"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0,7</w:t>
            </w:r>
          </w:p>
        </w:tc>
      </w:tr>
      <w:tr w:rsidR="00D0719D" w:rsidTr="00D0719D">
        <w:trPr>
          <w:trHeight w:hRule="exact" w:val="1614"/>
        </w:trPr>
        <w:tc>
          <w:tcPr>
            <w:tcW w:w="627"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jc w:val="center"/>
              <w:rPr>
                <w:rFonts w:ascii="Times New Roman" w:hAnsi="Times New Roman"/>
                <w:i/>
                <w:sz w:val="28"/>
                <w:szCs w:val="28"/>
                <w:lang w:val="uk-UA"/>
              </w:rPr>
            </w:pPr>
            <w:r>
              <w:rPr>
                <w:rFonts w:ascii="Times New Roman" w:hAnsi="Times New Roman"/>
                <w:i/>
                <w:sz w:val="28"/>
                <w:szCs w:val="28"/>
                <w:lang w:val="uk-UA"/>
              </w:rPr>
              <w:t>х</w:t>
            </w:r>
            <w:r>
              <w:rPr>
                <w:rFonts w:ascii="Times New Roman" w:hAnsi="Times New Roman"/>
                <w:sz w:val="28"/>
                <w:szCs w:val="28"/>
                <w:vertAlign w:val="subscript"/>
                <w:lang w:val="uk-UA"/>
              </w:rPr>
              <w:t>5</w:t>
            </w:r>
          </w:p>
        </w:tc>
        <w:tc>
          <w:tcPr>
            <w:tcW w:w="378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180" w:right="180"/>
              <w:jc w:val="both"/>
              <w:rPr>
                <w:rFonts w:ascii="Times New Roman" w:hAnsi="Times New Roman"/>
                <w:sz w:val="28"/>
                <w:szCs w:val="28"/>
                <w:lang w:val="uk-UA"/>
              </w:rPr>
            </w:pPr>
            <w:r>
              <w:rPr>
                <w:rFonts w:ascii="Times New Roman" w:hAnsi="Times New Roman"/>
                <w:sz w:val="28"/>
                <w:szCs w:val="28"/>
                <w:lang w:val="uk-UA"/>
              </w:rPr>
              <w:t>Коефіцієнт покриття (проміжний, поточний)</w:t>
            </w:r>
          </w:p>
        </w:tc>
        <w:tc>
          <w:tcPr>
            <w:tcW w:w="3716"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180" w:right="116"/>
              <w:jc w:val="both"/>
              <w:rPr>
                <w:rFonts w:ascii="Times New Roman" w:hAnsi="Times New Roman"/>
                <w:sz w:val="28"/>
                <w:szCs w:val="28"/>
                <w:lang w:val="uk-UA"/>
              </w:rPr>
            </w:pPr>
            <w:r>
              <w:rPr>
                <w:rFonts w:ascii="Times New Roman" w:hAnsi="Times New Roman"/>
                <w:sz w:val="28"/>
                <w:szCs w:val="28"/>
                <w:lang w:val="uk-UA"/>
              </w:rPr>
              <w:t>(Грошові кошти та їх еквіваленти + дебіторська заборгованість) / Короткострокові позичкові кошти</w:t>
            </w:r>
          </w:p>
        </w:tc>
        <w:tc>
          <w:tcPr>
            <w:tcW w:w="1504"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1</w:t>
            </w:r>
          </w:p>
        </w:tc>
      </w:tr>
      <w:tr w:rsidR="00D0719D" w:rsidTr="00D0719D">
        <w:trPr>
          <w:trHeight w:hRule="exact" w:val="753"/>
        </w:trPr>
        <w:tc>
          <w:tcPr>
            <w:tcW w:w="627"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jc w:val="center"/>
              <w:rPr>
                <w:rFonts w:ascii="Times New Roman" w:hAnsi="Times New Roman"/>
                <w:i/>
                <w:sz w:val="28"/>
                <w:szCs w:val="28"/>
                <w:lang w:val="en-US"/>
              </w:rPr>
            </w:pPr>
            <w:r>
              <w:rPr>
                <w:rFonts w:ascii="Times New Roman" w:hAnsi="Times New Roman"/>
                <w:i/>
                <w:sz w:val="28"/>
                <w:szCs w:val="28"/>
              </w:rPr>
              <w:t>х</w:t>
            </w:r>
            <w:r>
              <w:rPr>
                <w:rFonts w:ascii="Times New Roman" w:hAnsi="Times New Roman"/>
                <w:sz w:val="28"/>
                <w:szCs w:val="28"/>
                <w:vertAlign w:val="subscript"/>
              </w:rPr>
              <w:t>6</w:t>
            </w:r>
          </w:p>
        </w:tc>
        <w:tc>
          <w:tcPr>
            <w:tcW w:w="378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180" w:right="180"/>
              <w:jc w:val="both"/>
              <w:rPr>
                <w:rFonts w:ascii="Times New Roman" w:hAnsi="Times New Roman"/>
                <w:sz w:val="28"/>
                <w:szCs w:val="28"/>
                <w:lang w:val="uk-UA"/>
              </w:rPr>
            </w:pPr>
            <w:r>
              <w:rPr>
                <w:rFonts w:ascii="Times New Roman" w:hAnsi="Times New Roman"/>
                <w:sz w:val="28"/>
                <w:szCs w:val="28"/>
                <w:lang w:val="uk-UA"/>
              </w:rPr>
              <w:t>Коефіцієнт автономії (незалежності)</w:t>
            </w:r>
          </w:p>
        </w:tc>
        <w:tc>
          <w:tcPr>
            <w:tcW w:w="3716"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180" w:right="116"/>
              <w:jc w:val="both"/>
              <w:rPr>
                <w:rFonts w:ascii="Times New Roman" w:hAnsi="Times New Roman"/>
                <w:sz w:val="28"/>
                <w:szCs w:val="28"/>
                <w:lang w:val="uk-UA"/>
              </w:rPr>
            </w:pPr>
            <w:r>
              <w:rPr>
                <w:rFonts w:ascii="Times New Roman" w:hAnsi="Times New Roman"/>
                <w:sz w:val="28"/>
                <w:szCs w:val="28"/>
                <w:lang w:val="uk-UA"/>
              </w:rPr>
              <w:t>Власні кошти / Майно підприємства</w:t>
            </w:r>
          </w:p>
        </w:tc>
        <w:tc>
          <w:tcPr>
            <w:tcW w:w="1504"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0,5</w:t>
            </w:r>
          </w:p>
        </w:tc>
      </w:tr>
      <w:tr w:rsidR="00D0719D" w:rsidTr="00D0719D">
        <w:trPr>
          <w:trHeight w:hRule="exact" w:val="1044"/>
        </w:trPr>
        <w:tc>
          <w:tcPr>
            <w:tcW w:w="627"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jc w:val="center"/>
              <w:rPr>
                <w:rFonts w:ascii="Times New Roman" w:hAnsi="Times New Roman"/>
                <w:i/>
                <w:sz w:val="28"/>
                <w:szCs w:val="28"/>
                <w:lang w:val="en-US"/>
              </w:rPr>
            </w:pPr>
            <w:r>
              <w:rPr>
                <w:rFonts w:ascii="Times New Roman" w:hAnsi="Times New Roman"/>
                <w:i/>
                <w:sz w:val="28"/>
                <w:szCs w:val="28"/>
              </w:rPr>
              <w:t>х</w:t>
            </w:r>
            <w:r>
              <w:rPr>
                <w:rFonts w:ascii="Times New Roman" w:hAnsi="Times New Roman"/>
                <w:sz w:val="28"/>
                <w:szCs w:val="28"/>
                <w:vertAlign w:val="subscript"/>
              </w:rPr>
              <w:t>7</w:t>
            </w:r>
          </w:p>
        </w:tc>
        <w:tc>
          <w:tcPr>
            <w:tcW w:w="378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180" w:right="180"/>
              <w:jc w:val="both"/>
              <w:rPr>
                <w:rFonts w:ascii="Times New Roman" w:hAnsi="Times New Roman"/>
                <w:sz w:val="28"/>
                <w:szCs w:val="28"/>
                <w:lang w:val="uk-UA"/>
              </w:rPr>
            </w:pPr>
            <w:r>
              <w:rPr>
                <w:rFonts w:ascii="Times New Roman" w:hAnsi="Times New Roman"/>
                <w:sz w:val="28"/>
                <w:szCs w:val="28"/>
                <w:lang w:val="uk-UA"/>
              </w:rPr>
              <w:t>Коефіцієнт забезпечення запасів і витрат власними коштами</w:t>
            </w:r>
          </w:p>
        </w:tc>
        <w:tc>
          <w:tcPr>
            <w:tcW w:w="3716"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180" w:right="116"/>
              <w:jc w:val="both"/>
              <w:rPr>
                <w:rFonts w:ascii="Times New Roman" w:hAnsi="Times New Roman"/>
                <w:sz w:val="28"/>
                <w:szCs w:val="28"/>
                <w:lang w:val="uk-UA"/>
              </w:rPr>
            </w:pPr>
            <w:r>
              <w:rPr>
                <w:rFonts w:ascii="Times New Roman" w:hAnsi="Times New Roman"/>
                <w:sz w:val="28"/>
                <w:szCs w:val="28"/>
                <w:lang w:val="uk-UA"/>
              </w:rPr>
              <w:t>Власні оборотні кошти / Запаси та витрати</w:t>
            </w:r>
          </w:p>
        </w:tc>
        <w:tc>
          <w:tcPr>
            <w:tcW w:w="1504"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0,8</w:t>
            </w:r>
          </w:p>
        </w:tc>
      </w:tr>
      <w:tr w:rsidR="00D0719D" w:rsidTr="00D0719D">
        <w:trPr>
          <w:trHeight w:hRule="exact" w:val="1074"/>
        </w:trPr>
        <w:tc>
          <w:tcPr>
            <w:tcW w:w="627"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jc w:val="center"/>
              <w:rPr>
                <w:rFonts w:ascii="Times New Roman" w:hAnsi="Times New Roman"/>
                <w:i/>
                <w:sz w:val="28"/>
                <w:szCs w:val="28"/>
                <w:lang w:val="en-US"/>
              </w:rPr>
            </w:pPr>
            <w:r>
              <w:rPr>
                <w:rFonts w:ascii="Times New Roman" w:hAnsi="Times New Roman"/>
                <w:i/>
                <w:sz w:val="28"/>
                <w:szCs w:val="28"/>
              </w:rPr>
              <w:t>х</w:t>
            </w:r>
            <w:r>
              <w:rPr>
                <w:rFonts w:ascii="Times New Roman" w:hAnsi="Times New Roman"/>
                <w:sz w:val="28"/>
                <w:szCs w:val="28"/>
                <w:vertAlign w:val="subscript"/>
              </w:rPr>
              <w:t>8</w:t>
            </w:r>
          </w:p>
        </w:tc>
        <w:tc>
          <w:tcPr>
            <w:tcW w:w="378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180" w:right="180"/>
              <w:jc w:val="both"/>
              <w:rPr>
                <w:rFonts w:ascii="Times New Roman" w:hAnsi="Times New Roman"/>
                <w:sz w:val="28"/>
                <w:szCs w:val="28"/>
                <w:lang w:val="uk-UA"/>
              </w:rPr>
            </w:pPr>
            <w:r>
              <w:rPr>
                <w:rFonts w:ascii="Times New Roman" w:hAnsi="Times New Roman"/>
                <w:sz w:val="28"/>
                <w:szCs w:val="28"/>
                <w:lang w:val="uk-UA"/>
              </w:rPr>
              <w:t>Коефіцієнт швидкої ліквідності</w:t>
            </w:r>
          </w:p>
        </w:tc>
        <w:tc>
          <w:tcPr>
            <w:tcW w:w="3716"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180" w:right="116"/>
              <w:jc w:val="both"/>
              <w:rPr>
                <w:rFonts w:ascii="Times New Roman" w:hAnsi="Times New Roman"/>
                <w:sz w:val="28"/>
                <w:szCs w:val="28"/>
                <w:lang w:val="uk-UA"/>
              </w:rPr>
            </w:pPr>
            <w:r>
              <w:rPr>
                <w:rFonts w:ascii="Times New Roman" w:hAnsi="Times New Roman"/>
                <w:sz w:val="28"/>
                <w:szCs w:val="28"/>
                <w:lang w:val="uk-UA"/>
              </w:rPr>
              <w:t>Грошові кошти та їх еквіваленти / Поточні зобов’язання</w:t>
            </w:r>
          </w:p>
        </w:tc>
        <w:tc>
          <w:tcPr>
            <w:tcW w:w="1504"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1</w:t>
            </w:r>
          </w:p>
        </w:tc>
      </w:tr>
      <w:tr w:rsidR="00D0719D" w:rsidTr="00D0719D">
        <w:trPr>
          <w:trHeight w:hRule="exact" w:val="716"/>
        </w:trPr>
        <w:tc>
          <w:tcPr>
            <w:tcW w:w="627"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jc w:val="center"/>
              <w:rPr>
                <w:rFonts w:ascii="Times New Roman" w:hAnsi="Times New Roman"/>
                <w:i/>
                <w:sz w:val="28"/>
                <w:szCs w:val="28"/>
                <w:lang w:val="en-US"/>
              </w:rPr>
            </w:pPr>
            <w:r>
              <w:rPr>
                <w:rFonts w:ascii="Times New Roman" w:hAnsi="Times New Roman"/>
                <w:i/>
                <w:sz w:val="28"/>
                <w:szCs w:val="28"/>
              </w:rPr>
              <w:t>х</w:t>
            </w:r>
            <w:r>
              <w:rPr>
                <w:rFonts w:ascii="Times New Roman" w:hAnsi="Times New Roman"/>
                <w:sz w:val="28"/>
                <w:szCs w:val="28"/>
                <w:vertAlign w:val="subscript"/>
              </w:rPr>
              <w:t>9</w:t>
            </w:r>
          </w:p>
        </w:tc>
        <w:tc>
          <w:tcPr>
            <w:tcW w:w="378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180" w:right="180"/>
              <w:jc w:val="both"/>
              <w:rPr>
                <w:rFonts w:ascii="Times New Roman" w:hAnsi="Times New Roman"/>
                <w:sz w:val="28"/>
                <w:szCs w:val="28"/>
                <w:lang w:val="uk-UA"/>
              </w:rPr>
            </w:pPr>
            <w:r>
              <w:rPr>
                <w:rFonts w:ascii="Times New Roman" w:hAnsi="Times New Roman"/>
                <w:sz w:val="28"/>
                <w:szCs w:val="28"/>
                <w:lang w:val="uk-UA"/>
              </w:rPr>
              <w:t>Коефіцієнт концентрації залученого капіталу</w:t>
            </w:r>
          </w:p>
        </w:tc>
        <w:tc>
          <w:tcPr>
            <w:tcW w:w="3716"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180" w:right="116"/>
              <w:jc w:val="both"/>
              <w:rPr>
                <w:rFonts w:ascii="Times New Roman" w:hAnsi="Times New Roman"/>
                <w:sz w:val="28"/>
                <w:szCs w:val="28"/>
                <w:lang w:val="uk-UA"/>
              </w:rPr>
            </w:pPr>
            <w:r>
              <w:rPr>
                <w:rFonts w:ascii="Times New Roman" w:hAnsi="Times New Roman"/>
                <w:sz w:val="28"/>
                <w:szCs w:val="28"/>
                <w:lang w:val="uk-UA"/>
              </w:rPr>
              <w:t>Залучений капітал / Усього господарських коштів</w:t>
            </w:r>
          </w:p>
        </w:tc>
        <w:tc>
          <w:tcPr>
            <w:tcW w:w="1504"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0,5</w:t>
            </w:r>
          </w:p>
        </w:tc>
      </w:tr>
      <w:tr w:rsidR="00D0719D" w:rsidTr="00D0719D">
        <w:trPr>
          <w:trHeight w:hRule="exact" w:val="708"/>
        </w:trPr>
        <w:tc>
          <w:tcPr>
            <w:tcW w:w="627"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jc w:val="center"/>
              <w:rPr>
                <w:rFonts w:ascii="Times New Roman" w:hAnsi="Times New Roman"/>
                <w:i/>
                <w:sz w:val="28"/>
                <w:szCs w:val="28"/>
                <w:lang w:val="en-US"/>
              </w:rPr>
            </w:pPr>
            <w:r>
              <w:rPr>
                <w:rFonts w:ascii="Times New Roman" w:hAnsi="Times New Roman"/>
                <w:i/>
                <w:sz w:val="28"/>
                <w:szCs w:val="28"/>
              </w:rPr>
              <w:t>х</w:t>
            </w:r>
            <w:r>
              <w:rPr>
                <w:rFonts w:ascii="Times New Roman" w:hAnsi="Times New Roman"/>
                <w:sz w:val="28"/>
                <w:szCs w:val="28"/>
                <w:vertAlign w:val="subscript"/>
              </w:rPr>
              <w:t>10</w:t>
            </w:r>
          </w:p>
        </w:tc>
        <w:tc>
          <w:tcPr>
            <w:tcW w:w="378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180" w:right="180"/>
              <w:jc w:val="both"/>
              <w:rPr>
                <w:rFonts w:ascii="Times New Roman" w:hAnsi="Times New Roman"/>
                <w:sz w:val="28"/>
                <w:szCs w:val="28"/>
                <w:lang w:val="uk-UA"/>
              </w:rPr>
            </w:pPr>
            <w:r>
              <w:rPr>
                <w:rFonts w:ascii="Times New Roman" w:hAnsi="Times New Roman"/>
                <w:sz w:val="28"/>
                <w:szCs w:val="28"/>
                <w:lang w:val="uk-UA"/>
              </w:rPr>
              <w:t>Загальний коефіцієнт ліквідності</w:t>
            </w:r>
          </w:p>
        </w:tc>
        <w:tc>
          <w:tcPr>
            <w:tcW w:w="3716"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180" w:right="116"/>
              <w:jc w:val="both"/>
              <w:rPr>
                <w:rFonts w:ascii="Times New Roman" w:hAnsi="Times New Roman"/>
                <w:sz w:val="28"/>
                <w:szCs w:val="28"/>
                <w:lang w:val="uk-UA"/>
              </w:rPr>
            </w:pPr>
            <w:r>
              <w:rPr>
                <w:rFonts w:ascii="Times New Roman" w:hAnsi="Times New Roman"/>
                <w:sz w:val="28"/>
                <w:szCs w:val="28"/>
                <w:lang w:val="uk-UA"/>
              </w:rPr>
              <w:t>Активи / Власний капітал</w:t>
            </w:r>
          </w:p>
        </w:tc>
        <w:tc>
          <w:tcPr>
            <w:tcW w:w="1504"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1</w:t>
            </w:r>
          </w:p>
        </w:tc>
      </w:tr>
    </w:tbl>
    <w:p w:rsidR="00D0719D" w:rsidRDefault="00D0719D" w:rsidP="00D0719D">
      <w:pPr>
        <w:ind w:firstLine="709"/>
        <w:jc w:val="both"/>
        <w:rPr>
          <w:rFonts w:ascii="Times New Roman" w:hAnsi="Times New Roman"/>
          <w:sz w:val="28"/>
          <w:szCs w:val="28"/>
          <w:lang w:val="uk-UA" w:eastAsia="en-US"/>
        </w:rPr>
      </w:pP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 xml:space="preserve">Інтегральний показник </w:t>
      </w:r>
      <w:r>
        <w:rPr>
          <w:rFonts w:ascii="Times New Roman" w:hAnsi="Times New Roman"/>
          <w:i/>
          <w:sz w:val="28"/>
          <w:szCs w:val="28"/>
          <w:lang w:val="uk-UA"/>
        </w:rPr>
        <w:t>d</w:t>
      </w:r>
      <w:r>
        <w:rPr>
          <w:rFonts w:ascii="Times New Roman" w:hAnsi="Times New Roman"/>
          <w:sz w:val="28"/>
          <w:szCs w:val="28"/>
          <w:lang w:val="uk-UA"/>
        </w:rPr>
        <w:t>(</w:t>
      </w:r>
      <w:proofErr w:type="spellStart"/>
      <w:r>
        <w:rPr>
          <w:rFonts w:ascii="Times New Roman" w:hAnsi="Times New Roman"/>
          <w:i/>
          <w:sz w:val="28"/>
          <w:szCs w:val="28"/>
          <w:lang w:val="uk-UA"/>
        </w:rPr>
        <w:t>A</w:t>
      </w:r>
      <w:r>
        <w:rPr>
          <w:rFonts w:ascii="Times New Roman" w:hAnsi="Times New Roman"/>
          <w:i/>
          <w:sz w:val="28"/>
          <w:szCs w:val="28"/>
          <w:vertAlign w:val="subscript"/>
          <w:lang w:val="uk-UA"/>
        </w:rPr>
        <w:t>i</w:t>
      </w:r>
      <w:proofErr w:type="spellEnd"/>
      <w:r>
        <w:rPr>
          <w:rFonts w:ascii="Times New Roman" w:hAnsi="Times New Roman"/>
          <w:sz w:val="28"/>
          <w:szCs w:val="28"/>
          <w:lang w:val="uk-UA"/>
        </w:rPr>
        <w:t>,</w:t>
      </w:r>
      <w:r>
        <w:rPr>
          <w:rFonts w:ascii="Times New Roman" w:hAnsi="Times New Roman"/>
          <w:i/>
          <w:sz w:val="28"/>
          <w:szCs w:val="28"/>
          <w:lang w:val="uk-UA"/>
        </w:rPr>
        <w:t xml:space="preserve"> A</w:t>
      </w:r>
      <w:r>
        <w:rPr>
          <w:rFonts w:ascii="Times New Roman" w:hAnsi="Times New Roman"/>
          <w:i/>
          <w:sz w:val="28"/>
          <w:szCs w:val="28"/>
          <w:vertAlign w:val="subscript"/>
          <w:lang w:val="uk-UA"/>
        </w:rPr>
        <w:t>0</w:t>
      </w:r>
      <w:r>
        <w:rPr>
          <w:rFonts w:ascii="Times New Roman" w:hAnsi="Times New Roman"/>
          <w:sz w:val="28"/>
          <w:szCs w:val="28"/>
          <w:lang w:val="uk-UA"/>
        </w:rPr>
        <w:t xml:space="preserve">) показує рівень відхилення фінансового стану </w:t>
      </w:r>
      <w:r>
        <w:rPr>
          <w:rFonts w:ascii="Times New Roman" w:hAnsi="Times New Roman"/>
          <w:i/>
          <w:sz w:val="28"/>
          <w:szCs w:val="28"/>
          <w:lang w:val="uk-UA"/>
        </w:rPr>
        <w:t>і</w:t>
      </w:r>
      <w:r>
        <w:rPr>
          <w:rFonts w:ascii="Times New Roman" w:hAnsi="Times New Roman"/>
          <w:sz w:val="28"/>
          <w:szCs w:val="28"/>
          <w:lang w:val="uk-UA"/>
        </w:rPr>
        <w:t>-го підприємства від «еталонного».</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 xml:space="preserve">Якщо </w:t>
      </w:r>
      <w:r>
        <w:rPr>
          <w:rFonts w:ascii="Times New Roman" w:hAnsi="Times New Roman"/>
          <w:i/>
          <w:sz w:val="28"/>
          <w:szCs w:val="28"/>
          <w:lang w:val="uk-UA"/>
        </w:rPr>
        <w:t>d</w:t>
      </w:r>
      <w:r>
        <w:rPr>
          <w:rFonts w:ascii="Times New Roman" w:hAnsi="Times New Roman"/>
          <w:sz w:val="28"/>
          <w:szCs w:val="28"/>
          <w:lang w:val="uk-UA"/>
        </w:rPr>
        <w:t>(</w:t>
      </w:r>
      <w:proofErr w:type="spellStart"/>
      <w:r>
        <w:rPr>
          <w:rFonts w:ascii="Times New Roman" w:hAnsi="Times New Roman"/>
          <w:i/>
          <w:sz w:val="28"/>
          <w:szCs w:val="28"/>
          <w:lang w:val="uk-UA"/>
        </w:rPr>
        <w:t>A</w:t>
      </w:r>
      <w:r>
        <w:rPr>
          <w:rFonts w:ascii="Times New Roman" w:hAnsi="Times New Roman"/>
          <w:i/>
          <w:sz w:val="28"/>
          <w:szCs w:val="28"/>
          <w:vertAlign w:val="subscript"/>
          <w:lang w:val="uk-UA"/>
        </w:rPr>
        <w:t>i</w:t>
      </w:r>
      <w:proofErr w:type="spellEnd"/>
      <w:r>
        <w:rPr>
          <w:rFonts w:ascii="Times New Roman" w:hAnsi="Times New Roman"/>
          <w:sz w:val="28"/>
          <w:szCs w:val="28"/>
          <w:lang w:val="uk-UA"/>
        </w:rPr>
        <w:t>,</w:t>
      </w:r>
      <w:r>
        <w:rPr>
          <w:rFonts w:ascii="Times New Roman" w:hAnsi="Times New Roman"/>
          <w:i/>
          <w:sz w:val="28"/>
          <w:szCs w:val="28"/>
          <w:lang w:val="uk-UA"/>
        </w:rPr>
        <w:t xml:space="preserve"> A</w:t>
      </w:r>
      <w:r>
        <w:rPr>
          <w:rFonts w:ascii="Times New Roman" w:hAnsi="Times New Roman"/>
          <w:i/>
          <w:sz w:val="28"/>
          <w:szCs w:val="28"/>
          <w:vertAlign w:val="subscript"/>
          <w:lang w:val="uk-UA"/>
        </w:rPr>
        <w:t>0</w:t>
      </w:r>
      <w:r>
        <w:rPr>
          <w:rFonts w:ascii="Times New Roman" w:hAnsi="Times New Roman"/>
          <w:sz w:val="28"/>
          <w:szCs w:val="28"/>
          <w:lang w:val="uk-UA"/>
        </w:rPr>
        <w:t xml:space="preserve">) = 0, то це означає, що на підприємстві досягнуто оптимального рівня безпеки. Зростання відстані від «еталонного» </w:t>
      </w:r>
      <w:r>
        <w:rPr>
          <w:rFonts w:ascii="Times New Roman" w:hAnsi="Times New Roman"/>
          <w:sz w:val="28"/>
          <w:szCs w:val="28"/>
          <w:lang w:val="uk-UA"/>
        </w:rPr>
        <w:lastRenderedPageBreak/>
        <w:t>підприємства в динаміці свідчить про погіршення фінансового стану і зменшення рівня фінансової безпеки. Розрахунок такої відстані можна здійснювати для порівняння декількох підприємств, наприклад для оцінювання рівня фінансової безпеки на мікрорівні, рівні регіону, галузі чи держави.</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 xml:space="preserve">Значення </w:t>
      </w:r>
      <w:proofErr w:type="spellStart"/>
      <w:r>
        <w:rPr>
          <w:rFonts w:ascii="Times New Roman" w:hAnsi="Times New Roman"/>
          <w:i/>
          <w:sz w:val="28"/>
          <w:szCs w:val="28"/>
          <w:lang w:val="uk-UA"/>
        </w:rPr>
        <w:t>х</w:t>
      </w:r>
      <w:r>
        <w:rPr>
          <w:rFonts w:ascii="Times New Roman" w:hAnsi="Times New Roman"/>
          <w:i/>
          <w:sz w:val="28"/>
          <w:szCs w:val="28"/>
          <w:vertAlign w:val="subscript"/>
          <w:lang w:val="uk-UA"/>
        </w:rPr>
        <w:t>оj</w:t>
      </w:r>
      <w:proofErr w:type="spellEnd"/>
      <w:r>
        <w:rPr>
          <w:rFonts w:ascii="Times New Roman" w:hAnsi="Times New Roman"/>
          <w:sz w:val="28"/>
          <w:szCs w:val="28"/>
          <w:lang w:val="uk-UA"/>
        </w:rPr>
        <w:t xml:space="preserve"> є критичними і встановлюються експертами за принципом, що відхилення відповідного показника діяльності підприємства, за допомогою якого оцінюється рівень фінансової безпеки, від «еталонного» є явищем негативним.</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Для розрахунку індикаторів системи фінансової безпеки підприємства використані дані Балансу (Форма № 1). Обчислені значення індикаторів системи фінансової безпеки підприємства та узагальненого показника для цього підприємства, розрахованого за формулою (1), наведено в табл. 2.</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right"/>
        <w:rPr>
          <w:rFonts w:ascii="Times New Roman" w:hAnsi="Times New Roman"/>
          <w:sz w:val="28"/>
          <w:szCs w:val="28"/>
          <w:lang w:val="uk-UA"/>
        </w:rPr>
      </w:pPr>
      <w:r>
        <w:rPr>
          <w:rFonts w:ascii="Times New Roman" w:hAnsi="Times New Roman"/>
          <w:sz w:val="28"/>
          <w:szCs w:val="28"/>
          <w:lang w:val="uk-UA"/>
        </w:rPr>
        <w:t>Таблиця 2</w:t>
      </w:r>
    </w:p>
    <w:p w:rsidR="00D0719D" w:rsidRDefault="00D0719D" w:rsidP="00D0719D">
      <w:pPr>
        <w:ind w:firstLine="709"/>
        <w:jc w:val="center"/>
        <w:rPr>
          <w:rFonts w:ascii="Times New Roman" w:hAnsi="Times New Roman"/>
          <w:sz w:val="28"/>
          <w:szCs w:val="28"/>
          <w:lang w:val="uk-UA"/>
        </w:rPr>
      </w:pPr>
      <w:r>
        <w:rPr>
          <w:rFonts w:ascii="Times New Roman" w:hAnsi="Times New Roman"/>
          <w:sz w:val="28"/>
          <w:szCs w:val="28"/>
          <w:lang w:val="uk-UA"/>
        </w:rPr>
        <w:t xml:space="preserve">Індикатори системи фінансової безпеки підприємства </w:t>
      </w:r>
    </w:p>
    <w:p w:rsidR="00D0719D" w:rsidRDefault="00D0719D" w:rsidP="00D0719D">
      <w:pPr>
        <w:ind w:firstLine="709"/>
        <w:jc w:val="center"/>
        <w:rPr>
          <w:rFonts w:ascii="Times New Roman" w:hAnsi="Times New Roman"/>
          <w:sz w:val="28"/>
          <w:szCs w:val="28"/>
          <w:lang w:val="uk-UA"/>
        </w:rPr>
      </w:pPr>
      <w:r>
        <w:rPr>
          <w:rFonts w:ascii="Times New Roman" w:hAnsi="Times New Roman"/>
          <w:sz w:val="28"/>
          <w:szCs w:val="28"/>
          <w:lang w:val="uk-UA"/>
        </w:rPr>
        <w:t>(розраховані за даними балансу)</w:t>
      </w:r>
    </w:p>
    <w:tbl>
      <w:tblPr>
        <w:tblW w:w="0" w:type="dxa"/>
        <w:tblInd w:w="98" w:type="dxa"/>
        <w:tblLayout w:type="fixed"/>
        <w:tblCellMar>
          <w:left w:w="0" w:type="dxa"/>
          <w:right w:w="0" w:type="dxa"/>
        </w:tblCellMar>
        <w:tblLook w:val="01E0" w:firstRow="1" w:lastRow="1" w:firstColumn="1" w:lastColumn="1" w:noHBand="0" w:noVBand="0"/>
      </w:tblPr>
      <w:tblGrid>
        <w:gridCol w:w="1707"/>
        <w:gridCol w:w="5760"/>
        <w:gridCol w:w="2160"/>
      </w:tblGrid>
      <w:tr w:rsidR="00D0719D" w:rsidTr="00D0719D">
        <w:trPr>
          <w:trHeight w:hRule="exact" w:val="620"/>
        </w:trPr>
        <w:tc>
          <w:tcPr>
            <w:tcW w:w="170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87" w:right="180"/>
              <w:jc w:val="center"/>
              <w:rPr>
                <w:rFonts w:ascii="Times New Roman" w:hAnsi="Times New Roman"/>
                <w:sz w:val="28"/>
                <w:szCs w:val="28"/>
                <w:lang w:val="uk-UA"/>
              </w:rPr>
            </w:pPr>
            <w:r>
              <w:rPr>
                <w:rFonts w:ascii="Times New Roman" w:hAnsi="Times New Roman"/>
                <w:sz w:val="28"/>
                <w:szCs w:val="28"/>
                <w:lang w:val="uk-UA"/>
              </w:rPr>
              <w:t>Позначення показників</w:t>
            </w:r>
          </w:p>
        </w:tc>
        <w:tc>
          <w:tcPr>
            <w:tcW w:w="57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180" w:right="180"/>
              <w:jc w:val="center"/>
              <w:rPr>
                <w:rFonts w:ascii="Times New Roman" w:hAnsi="Times New Roman"/>
                <w:sz w:val="28"/>
                <w:szCs w:val="28"/>
                <w:lang w:val="uk-UA"/>
              </w:rPr>
            </w:pPr>
            <w:r>
              <w:rPr>
                <w:rFonts w:ascii="Times New Roman" w:hAnsi="Times New Roman"/>
                <w:sz w:val="28"/>
                <w:szCs w:val="28"/>
                <w:lang w:val="uk-UA"/>
              </w:rPr>
              <w:t>Показники</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Значення</w:t>
            </w:r>
          </w:p>
        </w:tc>
      </w:tr>
      <w:tr w:rsidR="00D0719D" w:rsidTr="00D0719D">
        <w:trPr>
          <w:trHeight w:hRule="exact" w:val="725"/>
        </w:trPr>
        <w:tc>
          <w:tcPr>
            <w:tcW w:w="170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87" w:right="180"/>
              <w:jc w:val="center"/>
              <w:rPr>
                <w:rFonts w:ascii="Times New Roman" w:hAnsi="Times New Roman"/>
                <w:sz w:val="28"/>
                <w:szCs w:val="28"/>
                <w:lang w:val="uk-UA"/>
              </w:rPr>
            </w:pPr>
            <w:r>
              <w:rPr>
                <w:rFonts w:ascii="Times New Roman" w:hAnsi="Times New Roman"/>
                <w:i/>
                <w:sz w:val="28"/>
                <w:szCs w:val="28"/>
                <w:lang w:val="uk-UA"/>
              </w:rPr>
              <w:t>х</w:t>
            </w:r>
            <w:r>
              <w:rPr>
                <w:rFonts w:ascii="Times New Roman" w:hAnsi="Times New Roman"/>
                <w:sz w:val="28"/>
                <w:szCs w:val="28"/>
                <w:vertAlign w:val="subscript"/>
                <w:lang w:val="uk-UA"/>
              </w:rPr>
              <w:t>1</w:t>
            </w:r>
          </w:p>
        </w:tc>
        <w:tc>
          <w:tcPr>
            <w:tcW w:w="57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180" w:right="180"/>
              <w:jc w:val="both"/>
              <w:rPr>
                <w:rFonts w:ascii="Times New Roman" w:hAnsi="Times New Roman"/>
                <w:sz w:val="28"/>
                <w:szCs w:val="28"/>
                <w:lang w:val="uk-UA"/>
              </w:rPr>
            </w:pPr>
            <w:r>
              <w:rPr>
                <w:rFonts w:ascii="Times New Roman" w:hAnsi="Times New Roman"/>
                <w:sz w:val="28"/>
                <w:szCs w:val="28"/>
                <w:lang w:val="uk-UA"/>
              </w:rPr>
              <w:t>Коефіцієнт співвідношення залучених і власних коштів</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0,83</w:t>
            </w:r>
          </w:p>
        </w:tc>
      </w:tr>
      <w:tr w:rsidR="00D0719D" w:rsidTr="00D0719D">
        <w:trPr>
          <w:trHeight w:hRule="exact" w:val="435"/>
        </w:trPr>
        <w:tc>
          <w:tcPr>
            <w:tcW w:w="170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87" w:right="180"/>
              <w:jc w:val="center"/>
              <w:rPr>
                <w:rFonts w:ascii="Times New Roman" w:hAnsi="Times New Roman"/>
                <w:sz w:val="28"/>
                <w:szCs w:val="28"/>
                <w:lang w:val="uk-UA"/>
              </w:rPr>
            </w:pPr>
            <w:r>
              <w:rPr>
                <w:rFonts w:ascii="Times New Roman" w:hAnsi="Times New Roman"/>
                <w:i/>
                <w:sz w:val="28"/>
                <w:szCs w:val="28"/>
                <w:lang w:val="uk-UA"/>
              </w:rPr>
              <w:t>х</w:t>
            </w:r>
            <w:r>
              <w:rPr>
                <w:rFonts w:ascii="Times New Roman" w:hAnsi="Times New Roman"/>
                <w:sz w:val="28"/>
                <w:szCs w:val="28"/>
                <w:vertAlign w:val="subscript"/>
                <w:lang w:val="uk-UA"/>
              </w:rPr>
              <w:t>2</w:t>
            </w:r>
          </w:p>
        </w:tc>
        <w:tc>
          <w:tcPr>
            <w:tcW w:w="57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180" w:right="180"/>
              <w:jc w:val="both"/>
              <w:rPr>
                <w:rFonts w:ascii="Times New Roman" w:hAnsi="Times New Roman"/>
                <w:sz w:val="28"/>
                <w:szCs w:val="28"/>
                <w:lang w:val="uk-UA"/>
              </w:rPr>
            </w:pPr>
            <w:r>
              <w:rPr>
                <w:rFonts w:ascii="Times New Roman" w:hAnsi="Times New Roman"/>
                <w:sz w:val="28"/>
                <w:szCs w:val="28"/>
                <w:lang w:val="uk-UA"/>
              </w:rPr>
              <w:t>Коефіцієнт маневреності власних коштів</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0,34</w:t>
            </w:r>
          </w:p>
        </w:tc>
      </w:tr>
      <w:tr w:rsidR="00D0719D" w:rsidTr="00D0719D">
        <w:trPr>
          <w:trHeight w:hRule="exact" w:val="786"/>
        </w:trPr>
        <w:tc>
          <w:tcPr>
            <w:tcW w:w="170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i/>
                <w:sz w:val="28"/>
                <w:szCs w:val="28"/>
                <w:lang w:val="uk-UA"/>
              </w:rPr>
            </w:pPr>
            <w:r>
              <w:rPr>
                <w:rFonts w:ascii="Times New Roman" w:hAnsi="Times New Roman"/>
                <w:i/>
                <w:sz w:val="28"/>
                <w:szCs w:val="28"/>
                <w:lang w:val="uk-UA"/>
              </w:rPr>
              <w:t>х</w:t>
            </w:r>
            <w:r>
              <w:rPr>
                <w:rFonts w:ascii="Times New Roman" w:hAnsi="Times New Roman"/>
                <w:sz w:val="28"/>
                <w:szCs w:val="28"/>
                <w:vertAlign w:val="subscript"/>
                <w:lang w:val="uk-UA"/>
              </w:rPr>
              <w:t>3</w:t>
            </w:r>
          </w:p>
        </w:tc>
        <w:tc>
          <w:tcPr>
            <w:tcW w:w="57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180" w:right="180"/>
              <w:jc w:val="both"/>
              <w:rPr>
                <w:rFonts w:ascii="Times New Roman" w:hAnsi="Times New Roman"/>
                <w:sz w:val="28"/>
                <w:szCs w:val="28"/>
                <w:lang w:val="uk-UA"/>
              </w:rPr>
            </w:pPr>
            <w:r>
              <w:rPr>
                <w:rFonts w:ascii="Times New Roman" w:hAnsi="Times New Roman"/>
                <w:sz w:val="28"/>
                <w:szCs w:val="28"/>
                <w:lang w:val="uk-UA"/>
              </w:rPr>
              <w:t>Коефіцієнт реальної вартості основних засобів у вартості майна підприємства</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0,45</w:t>
            </w:r>
          </w:p>
        </w:tc>
      </w:tr>
      <w:tr w:rsidR="00D0719D" w:rsidTr="00D0719D">
        <w:trPr>
          <w:trHeight w:hRule="exact" w:val="443"/>
        </w:trPr>
        <w:tc>
          <w:tcPr>
            <w:tcW w:w="170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i/>
                <w:sz w:val="28"/>
                <w:szCs w:val="28"/>
                <w:lang w:val="uk-UA"/>
              </w:rPr>
            </w:pPr>
            <w:r>
              <w:rPr>
                <w:rFonts w:ascii="Times New Roman" w:hAnsi="Times New Roman"/>
                <w:i/>
                <w:sz w:val="28"/>
                <w:szCs w:val="28"/>
                <w:lang w:val="uk-UA"/>
              </w:rPr>
              <w:t>х</w:t>
            </w:r>
            <w:r>
              <w:rPr>
                <w:rFonts w:ascii="Times New Roman" w:hAnsi="Times New Roman"/>
                <w:sz w:val="28"/>
                <w:szCs w:val="28"/>
                <w:vertAlign w:val="subscript"/>
                <w:lang w:val="uk-UA"/>
              </w:rPr>
              <w:t>4</w:t>
            </w:r>
          </w:p>
        </w:tc>
        <w:tc>
          <w:tcPr>
            <w:tcW w:w="57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180" w:right="180"/>
              <w:jc w:val="both"/>
              <w:rPr>
                <w:rFonts w:ascii="Times New Roman" w:hAnsi="Times New Roman"/>
                <w:sz w:val="28"/>
                <w:szCs w:val="28"/>
                <w:lang w:val="uk-UA"/>
              </w:rPr>
            </w:pPr>
            <w:r>
              <w:rPr>
                <w:rFonts w:ascii="Times New Roman" w:hAnsi="Times New Roman"/>
                <w:sz w:val="28"/>
                <w:szCs w:val="28"/>
                <w:lang w:val="uk-UA"/>
              </w:rPr>
              <w:t>Коефіцієнт покриття (проміжний, поточний)</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0,97</w:t>
            </w:r>
          </w:p>
        </w:tc>
      </w:tr>
      <w:tr w:rsidR="00D0719D" w:rsidTr="00D0719D">
        <w:trPr>
          <w:trHeight w:hRule="exact" w:val="375"/>
        </w:trPr>
        <w:tc>
          <w:tcPr>
            <w:tcW w:w="170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i/>
                <w:sz w:val="28"/>
                <w:szCs w:val="28"/>
                <w:lang w:val="uk-UA"/>
              </w:rPr>
            </w:pPr>
            <w:r>
              <w:rPr>
                <w:rFonts w:ascii="Times New Roman" w:hAnsi="Times New Roman"/>
                <w:i/>
                <w:sz w:val="28"/>
                <w:szCs w:val="28"/>
                <w:lang w:val="uk-UA"/>
              </w:rPr>
              <w:t>х</w:t>
            </w:r>
            <w:r>
              <w:rPr>
                <w:rFonts w:ascii="Times New Roman" w:hAnsi="Times New Roman"/>
                <w:sz w:val="28"/>
                <w:szCs w:val="28"/>
                <w:vertAlign w:val="subscript"/>
                <w:lang w:val="uk-UA"/>
              </w:rPr>
              <w:t>5</w:t>
            </w:r>
          </w:p>
        </w:tc>
        <w:tc>
          <w:tcPr>
            <w:tcW w:w="57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180" w:right="180"/>
              <w:jc w:val="both"/>
              <w:rPr>
                <w:rFonts w:ascii="Times New Roman" w:hAnsi="Times New Roman"/>
                <w:sz w:val="28"/>
                <w:szCs w:val="28"/>
                <w:lang w:val="uk-UA"/>
              </w:rPr>
            </w:pPr>
            <w:r>
              <w:rPr>
                <w:rFonts w:ascii="Times New Roman" w:hAnsi="Times New Roman"/>
                <w:sz w:val="28"/>
                <w:szCs w:val="28"/>
                <w:lang w:val="uk-UA"/>
              </w:rPr>
              <w:t>Загальний коефіцієнт покриття</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0,71</w:t>
            </w:r>
          </w:p>
        </w:tc>
      </w:tr>
      <w:tr w:rsidR="00D0719D" w:rsidTr="00D0719D">
        <w:trPr>
          <w:trHeight w:hRule="exact" w:val="537"/>
        </w:trPr>
        <w:tc>
          <w:tcPr>
            <w:tcW w:w="170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i/>
                <w:sz w:val="28"/>
                <w:szCs w:val="28"/>
                <w:lang w:val="en-US"/>
              </w:rPr>
            </w:pPr>
            <w:r>
              <w:rPr>
                <w:rFonts w:ascii="Times New Roman" w:hAnsi="Times New Roman"/>
                <w:i/>
                <w:sz w:val="28"/>
                <w:szCs w:val="28"/>
              </w:rPr>
              <w:t>х</w:t>
            </w:r>
            <w:r>
              <w:rPr>
                <w:rFonts w:ascii="Times New Roman" w:hAnsi="Times New Roman"/>
                <w:sz w:val="28"/>
                <w:szCs w:val="28"/>
                <w:vertAlign w:val="subscript"/>
              </w:rPr>
              <w:t>6</w:t>
            </w:r>
          </w:p>
        </w:tc>
        <w:tc>
          <w:tcPr>
            <w:tcW w:w="57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180" w:right="180"/>
              <w:jc w:val="both"/>
              <w:rPr>
                <w:rFonts w:ascii="Times New Roman" w:hAnsi="Times New Roman"/>
                <w:sz w:val="28"/>
                <w:szCs w:val="28"/>
                <w:lang w:val="uk-UA"/>
              </w:rPr>
            </w:pPr>
            <w:r>
              <w:rPr>
                <w:rFonts w:ascii="Times New Roman" w:hAnsi="Times New Roman"/>
                <w:sz w:val="28"/>
                <w:szCs w:val="28"/>
                <w:lang w:val="uk-UA"/>
              </w:rPr>
              <w:t>Коефіцієнт автономії (незалежності)</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0,47</w:t>
            </w:r>
          </w:p>
        </w:tc>
      </w:tr>
      <w:tr w:rsidR="00D0719D" w:rsidTr="00D0719D">
        <w:trPr>
          <w:trHeight w:hRule="exact" w:val="688"/>
        </w:trPr>
        <w:tc>
          <w:tcPr>
            <w:tcW w:w="170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i/>
                <w:sz w:val="28"/>
                <w:szCs w:val="28"/>
                <w:lang w:val="en-US"/>
              </w:rPr>
            </w:pPr>
            <w:r>
              <w:rPr>
                <w:rFonts w:ascii="Times New Roman" w:hAnsi="Times New Roman"/>
                <w:i/>
                <w:sz w:val="28"/>
                <w:szCs w:val="28"/>
              </w:rPr>
              <w:t>х</w:t>
            </w:r>
            <w:r>
              <w:rPr>
                <w:rFonts w:ascii="Times New Roman" w:hAnsi="Times New Roman"/>
                <w:sz w:val="28"/>
                <w:szCs w:val="28"/>
                <w:vertAlign w:val="subscript"/>
              </w:rPr>
              <w:t>7</w:t>
            </w:r>
          </w:p>
        </w:tc>
        <w:tc>
          <w:tcPr>
            <w:tcW w:w="57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180" w:right="180"/>
              <w:jc w:val="both"/>
              <w:rPr>
                <w:rFonts w:ascii="Times New Roman" w:hAnsi="Times New Roman"/>
                <w:sz w:val="28"/>
                <w:szCs w:val="28"/>
                <w:lang w:val="uk-UA"/>
              </w:rPr>
            </w:pPr>
            <w:r>
              <w:rPr>
                <w:rFonts w:ascii="Times New Roman" w:hAnsi="Times New Roman"/>
                <w:sz w:val="28"/>
                <w:szCs w:val="28"/>
                <w:lang w:val="uk-UA"/>
              </w:rPr>
              <w:t>Коефіцієнт забезпечення запасів і витрат власними коштами</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0,62</w:t>
            </w:r>
          </w:p>
        </w:tc>
      </w:tr>
      <w:tr w:rsidR="00D0719D" w:rsidTr="00D0719D">
        <w:trPr>
          <w:trHeight w:hRule="exact" w:val="351"/>
        </w:trPr>
        <w:tc>
          <w:tcPr>
            <w:tcW w:w="170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i/>
                <w:sz w:val="28"/>
                <w:szCs w:val="28"/>
                <w:lang w:val="en-US"/>
              </w:rPr>
            </w:pPr>
            <w:r>
              <w:rPr>
                <w:rFonts w:ascii="Times New Roman" w:hAnsi="Times New Roman"/>
                <w:i/>
                <w:sz w:val="28"/>
                <w:szCs w:val="28"/>
              </w:rPr>
              <w:t>х</w:t>
            </w:r>
            <w:r>
              <w:rPr>
                <w:rFonts w:ascii="Times New Roman" w:hAnsi="Times New Roman"/>
                <w:sz w:val="28"/>
                <w:szCs w:val="28"/>
                <w:vertAlign w:val="subscript"/>
              </w:rPr>
              <w:t>8</w:t>
            </w:r>
          </w:p>
        </w:tc>
        <w:tc>
          <w:tcPr>
            <w:tcW w:w="57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180" w:right="180"/>
              <w:jc w:val="both"/>
              <w:rPr>
                <w:rFonts w:ascii="Times New Roman" w:hAnsi="Times New Roman"/>
                <w:sz w:val="28"/>
                <w:szCs w:val="28"/>
                <w:lang w:val="uk-UA"/>
              </w:rPr>
            </w:pPr>
            <w:r>
              <w:rPr>
                <w:rFonts w:ascii="Times New Roman" w:hAnsi="Times New Roman"/>
                <w:sz w:val="28"/>
                <w:szCs w:val="28"/>
                <w:lang w:val="uk-UA"/>
              </w:rPr>
              <w:t>Коефіцієнт швидкої ліквідності</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0,39</w:t>
            </w:r>
          </w:p>
        </w:tc>
      </w:tr>
      <w:tr w:rsidR="00D0719D" w:rsidTr="00D0719D">
        <w:trPr>
          <w:trHeight w:hRule="exact" w:val="625"/>
        </w:trPr>
        <w:tc>
          <w:tcPr>
            <w:tcW w:w="170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i/>
                <w:sz w:val="28"/>
                <w:szCs w:val="28"/>
                <w:lang w:val="en-US"/>
              </w:rPr>
            </w:pPr>
            <w:r>
              <w:rPr>
                <w:rFonts w:ascii="Times New Roman" w:hAnsi="Times New Roman"/>
                <w:i/>
                <w:sz w:val="28"/>
                <w:szCs w:val="28"/>
              </w:rPr>
              <w:t>х</w:t>
            </w:r>
            <w:r>
              <w:rPr>
                <w:rFonts w:ascii="Times New Roman" w:hAnsi="Times New Roman"/>
                <w:sz w:val="28"/>
                <w:szCs w:val="28"/>
                <w:vertAlign w:val="subscript"/>
              </w:rPr>
              <w:t>9</w:t>
            </w:r>
          </w:p>
        </w:tc>
        <w:tc>
          <w:tcPr>
            <w:tcW w:w="57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180" w:right="180"/>
              <w:jc w:val="both"/>
              <w:rPr>
                <w:rFonts w:ascii="Times New Roman" w:hAnsi="Times New Roman"/>
                <w:sz w:val="28"/>
                <w:szCs w:val="28"/>
                <w:lang w:val="uk-UA"/>
              </w:rPr>
            </w:pPr>
            <w:r>
              <w:rPr>
                <w:rFonts w:ascii="Times New Roman" w:hAnsi="Times New Roman"/>
                <w:sz w:val="28"/>
                <w:szCs w:val="28"/>
                <w:lang w:val="uk-UA"/>
              </w:rPr>
              <w:t>Коефіцієнт концентрації залученого капіталу</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0,63</w:t>
            </w:r>
          </w:p>
        </w:tc>
      </w:tr>
      <w:tr w:rsidR="00D0719D" w:rsidTr="00D0719D">
        <w:trPr>
          <w:trHeight w:hRule="exact" w:val="467"/>
        </w:trPr>
        <w:tc>
          <w:tcPr>
            <w:tcW w:w="170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i/>
                <w:sz w:val="28"/>
                <w:szCs w:val="28"/>
                <w:lang w:val="en-US"/>
              </w:rPr>
            </w:pPr>
            <w:r>
              <w:rPr>
                <w:rFonts w:ascii="Times New Roman" w:hAnsi="Times New Roman"/>
                <w:i/>
                <w:sz w:val="28"/>
                <w:szCs w:val="28"/>
              </w:rPr>
              <w:t>х</w:t>
            </w:r>
            <w:r>
              <w:rPr>
                <w:rFonts w:ascii="Times New Roman" w:hAnsi="Times New Roman"/>
                <w:sz w:val="28"/>
                <w:szCs w:val="28"/>
                <w:vertAlign w:val="subscript"/>
              </w:rPr>
              <w:t>10</w:t>
            </w:r>
          </w:p>
        </w:tc>
        <w:tc>
          <w:tcPr>
            <w:tcW w:w="57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180" w:right="180"/>
              <w:jc w:val="both"/>
              <w:rPr>
                <w:rFonts w:ascii="Times New Roman" w:hAnsi="Times New Roman"/>
                <w:sz w:val="28"/>
                <w:szCs w:val="28"/>
                <w:lang w:val="uk-UA"/>
              </w:rPr>
            </w:pPr>
            <w:r>
              <w:rPr>
                <w:rFonts w:ascii="Times New Roman" w:hAnsi="Times New Roman"/>
                <w:sz w:val="28"/>
                <w:szCs w:val="28"/>
                <w:lang w:val="uk-UA"/>
              </w:rPr>
              <w:t>Загальний коефіцієнт ліквідності</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1,22</w:t>
            </w:r>
          </w:p>
        </w:tc>
      </w:tr>
      <w:tr w:rsidR="00D0719D" w:rsidTr="00D0719D">
        <w:trPr>
          <w:trHeight w:hRule="exact" w:val="741"/>
        </w:trPr>
        <w:tc>
          <w:tcPr>
            <w:tcW w:w="170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87" w:right="180"/>
              <w:jc w:val="center"/>
              <w:rPr>
                <w:rFonts w:ascii="Times New Roman" w:hAnsi="Times New Roman"/>
                <w:i/>
                <w:sz w:val="28"/>
                <w:szCs w:val="28"/>
                <w:lang w:val="uk-UA"/>
              </w:rPr>
            </w:pPr>
            <w:r>
              <w:rPr>
                <w:rFonts w:ascii="Times New Roman" w:hAnsi="Times New Roman"/>
                <w:i/>
                <w:sz w:val="28"/>
                <w:szCs w:val="28"/>
                <w:lang w:val="uk-UA"/>
              </w:rPr>
              <w:t>І</w:t>
            </w:r>
          </w:p>
        </w:tc>
        <w:tc>
          <w:tcPr>
            <w:tcW w:w="57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180" w:right="180"/>
              <w:jc w:val="both"/>
              <w:rPr>
                <w:rFonts w:ascii="Times New Roman" w:hAnsi="Times New Roman"/>
                <w:sz w:val="28"/>
                <w:szCs w:val="28"/>
                <w:lang w:val="uk-UA"/>
              </w:rPr>
            </w:pPr>
            <w:r>
              <w:rPr>
                <w:rFonts w:ascii="Times New Roman" w:hAnsi="Times New Roman"/>
                <w:sz w:val="28"/>
                <w:szCs w:val="28"/>
                <w:lang w:val="uk-UA"/>
              </w:rPr>
              <w:t>Інтегральний показник рівня фінансової безпеки підприємства</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0,0279</w:t>
            </w:r>
          </w:p>
        </w:tc>
      </w:tr>
    </w:tbl>
    <w:p w:rsidR="00D0719D" w:rsidRDefault="00D0719D" w:rsidP="00D0719D">
      <w:pPr>
        <w:ind w:firstLine="709"/>
        <w:jc w:val="both"/>
        <w:rPr>
          <w:rFonts w:ascii="Times New Roman" w:hAnsi="Times New Roman"/>
          <w:sz w:val="28"/>
          <w:szCs w:val="28"/>
          <w:lang w:val="uk-UA" w:eastAsia="en-US"/>
        </w:rPr>
      </w:pP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Визначаємо величину квадрата відхилення рівня фінансової безпеки для досліджуваного й «еталонного» підприємств, яка обчислюється на основі формули.</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 xml:space="preserve">Віддаль рівня фінансової безпеки досліджуваного підприємства від «еталонного» дорівнює </w:t>
      </w:r>
      <w:r>
        <w:rPr>
          <w:rFonts w:ascii="Times New Roman" w:hAnsi="Times New Roman"/>
          <w:i/>
          <w:sz w:val="28"/>
          <w:szCs w:val="28"/>
          <w:lang w:val="uk-UA"/>
        </w:rPr>
        <w:t>d</w:t>
      </w:r>
      <w:r>
        <w:rPr>
          <w:rFonts w:ascii="Times New Roman" w:hAnsi="Times New Roman"/>
          <w:sz w:val="28"/>
          <w:szCs w:val="28"/>
          <w:lang w:val="uk-UA"/>
        </w:rPr>
        <w:t>(</w:t>
      </w:r>
      <w:proofErr w:type="spellStart"/>
      <w:r>
        <w:rPr>
          <w:rFonts w:ascii="Times New Roman" w:hAnsi="Times New Roman"/>
          <w:i/>
          <w:sz w:val="28"/>
          <w:szCs w:val="28"/>
          <w:lang w:val="uk-UA"/>
        </w:rPr>
        <w:t>A</w:t>
      </w:r>
      <w:r>
        <w:rPr>
          <w:rFonts w:ascii="Times New Roman" w:hAnsi="Times New Roman"/>
          <w:i/>
          <w:sz w:val="28"/>
          <w:szCs w:val="28"/>
          <w:vertAlign w:val="subscript"/>
          <w:lang w:val="uk-UA"/>
        </w:rPr>
        <w:t>i</w:t>
      </w:r>
      <w:proofErr w:type="spellEnd"/>
      <w:r>
        <w:rPr>
          <w:rFonts w:ascii="Times New Roman" w:hAnsi="Times New Roman"/>
          <w:sz w:val="28"/>
          <w:szCs w:val="28"/>
          <w:lang w:val="uk-UA"/>
        </w:rPr>
        <w:t>,</w:t>
      </w:r>
      <w:r>
        <w:rPr>
          <w:rFonts w:ascii="Times New Roman" w:hAnsi="Times New Roman"/>
          <w:i/>
          <w:sz w:val="28"/>
          <w:szCs w:val="28"/>
          <w:lang w:val="uk-UA"/>
        </w:rPr>
        <w:t xml:space="preserve"> A</w:t>
      </w:r>
      <w:r>
        <w:rPr>
          <w:rFonts w:ascii="Times New Roman" w:hAnsi="Times New Roman"/>
          <w:i/>
          <w:sz w:val="28"/>
          <w:szCs w:val="28"/>
          <w:vertAlign w:val="subscript"/>
          <w:lang w:val="uk-UA"/>
        </w:rPr>
        <w:t>0</w:t>
      </w:r>
      <w:r>
        <w:rPr>
          <w:rFonts w:ascii="Times New Roman" w:hAnsi="Times New Roman"/>
          <w:sz w:val="28"/>
          <w:szCs w:val="28"/>
          <w:lang w:val="uk-UA"/>
        </w:rPr>
        <w:t>)= √68,0 = 0,83.</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 xml:space="preserve">Недоліком запропонованого підходу є те, що абсолютне значення </w:t>
      </w:r>
      <w:r>
        <w:rPr>
          <w:rFonts w:ascii="Times New Roman" w:hAnsi="Times New Roman"/>
          <w:sz w:val="28"/>
          <w:szCs w:val="28"/>
          <w:lang w:val="uk-UA"/>
        </w:rPr>
        <w:lastRenderedPageBreak/>
        <w:t>відстані між рівнями фінансової безпеки досліджуваного та «еталонного» підприємств не передбачає інформації про дійсний стан системи фінансової безпеки підприємства. Проте застосування цього підходу доцільне у випадку, коли досліджується динаміка системи фінансової безпеки підприємства. У цьому випадку тенденція до зменшення віддалі між рівнями фінансової безпеки досліджуваного та «еталонного» підприємств свідчить про покращення стану системи фінансової безпеки підприємства, а протилежна тенденція (зростання віддалі) – про погіршення цього стану.</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center"/>
        <w:rPr>
          <w:rFonts w:ascii="Times New Roman" w:hAnsi="Times New Roman"/>
          <w:b/>
          <w:sz w:val="28"/>
          <w:szCs w:val="28"/>
          <w:lang w:val="uk-UA"/>
        </w:rPr>
      </w:pPr>
      <w:r>
        <w:rPr>
          <w:rFonts w:ascii="Times New Roman" w:hAnsi="Times New Roman"/>
          <w:b/>
          <w:sz w:val="28"/>
          <w:szCs w:val="28"/>
          <w:lang w:val="uk-UA"/>
        </w:rPr>
        <w:t>2 підхід</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За другим підходом узагальнений показник рівня фінансової безпеки підприємства з врахуванням наведених вище показників запропоновано обчислювати за формулою</w:t>
      </w:r>
    </w:p>
    <w:p w:rsidR="00D0719D" w:rsidRDefault="00D0719D" w:rsidP="00D0719D">
      <w:pPr>
        <w:ind w:firstLine="709"/>
        <w:jc w:val="both"/>
        <w:rPr>
          <w:rFonts w:ascii="Times New Roman" w:hAnsi="Times New Roman"/>
          <w:sz w:val="28"/>
          <w:szCs w:val="28"/>
          <w:lang w:val="uk-UA"/>
        </w:rPr>
      </w:pPr>
    </w:p>
    <w:p w:rsidR="00D0719D" w:rsidRDefault="00156AC9" w:rsidP="00D0719D">
      <w:pPr>
        <w:ind w:firstLine="709"/>
        <w:jc w:val="right"/>
        <w:rPr>
          <w:rFonts w:ascii="Times New Roman" w:hAnsi="Times New Roman"/>
          <w:sz w:val="28"/>
          <w:szCs w:val="28"/>
          <w:lang w:val="uk-UA"/>
        </w:rPr>
      </w:pPr>
      <w:r>
        <w:rPr>
          <w:noProof/>
        </w:rPr>
        <w:drawing>
          <wp:inline distT="0" distB="0" distL="0" distR="0" wp14:anchorId="0E223078" wp14:editId="21C973F8">
            <wp:extent cx="2968311" cy="710214"/>
            <wp:effectExtent l="0" t="0" r="381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8719" t="20724" r="30042" b="70241"/>
                    <a:stretch/>
                  </pic:blipFill>
                  <pic:spPr bwMode="auto">
                    <a:xfrm>
                      <a:off x="0" y="0"/>
                      <a:ext cx="3098679" cy="741406"/>
                    </a:xfrm>
                    <a:prstGeom prst="rect">
                      <a:avLst/>
                    </a:prstGeom>
                    <a:ln>
                      <a:noFill/>
                    </a:ln>
                    <a:extLst>
                      <a:ext uri="{53640926-AAD7-44D8-BBD7-CCE9431645EC}">
                        <a14:shadowObscured xmlns:a14="http://schemas.microsoft.com/office/drawing/2010/main"/>
                      </a:ext>
                    </a:extLst>
                  </pic:spPr>
                </pic:pic>
              </a:graphicData>
            </a:graphic>
          </wp:inline>
        </w:drawing>
      </w:r>
      <w:r w:rsidR="00D0719D">
        <w:rPr>
          <w:rFonts w:ascii="Times New Roman" w:hAnsi="Times New Roman"/>
          <w:sz w:val="28"/>
          <w:szCs w:val="28"/>
          <w:lang w:val="uk-UA"/>
        </w:rPr>
        <w:t xml:space="preserve"> ,                                  (2)</w:t>
      </w:r>
    </w:p>
    <w:p w:rsidR="00D0719D" w:rsidRDefault="00D0719D" w:rsidP="00D0719D">
      <w:pPr>
        <w:ind w:firstLine="709"/>
        <w:jc w:val="center"/>
        <w:rPr>
          <w:rFonts w:ascii="Times New Roman" w:hAnsi="Times New Roman"/>
          <w:sz w:val="28"/>
          <w:szCs w:val="28"/>
          <w:lang w:val="uk-UA"/>
        </w:rPr>
      </w:pPr>
    </w:p>
    <w:p w:rsidR="00D0719D" w:rsidRDefault="00D0719D" w:rsidP="00D0719D">
      <w:pPr>
        <w:jc w:val="both"/>
        <w:rPr>
          <w:rFonts w:ascii="Times New Roman" w:hAnsi="Times New Roman"/>
          <w:sz w:val="28"/>
          <w:szCs w:val="28"/>
          <w:lang w:val="uk-UA"/>
        </w:rPr>
      </w:pPr>
      <w:r>
        <w:rPr>
          <w:rFonts w:ascii="Times New Roman" w:hAnsi="Times New Roman"/>
          <w:sz w:val="28"/>
          <w:szCs w:val="28"/>
          <w:lang w:val="uk-UA"/>
        </w:rPr>
        <w:t xml:space="preserve">де </w:t>
      </w:r>
      <w:r>
        <w:rPr>
          <w:rFonts w:ascii="Times New Roman" w:hAnsi="Times New Roman"/>
          <w:i/>
          <w:sz w:val="28"/>
          <w:szCs w:val="28"/>
          <w:lang w:val="uk-UA"/>
        </w:rPr>
        <w:t>х</w:t>
      </w:r>
      <w:r>
        <w:rPr>
          <w:rFonts w:ascii="Times New Roman" w:hAnsi="Times New Roman"/>
          <w:sz w:val="28"/>
          <w:szCs w:val="28"/>
          <w:vertAlign w:val="subscript"/>
          <w:lang w:val="uk-UA"/>
        </w:rPr>
        <w:t>1</w:t>
      </w:r>
      <w:r>
        <w:rPr>
          <w:rFonts w:ascii="Times New Roman" w:hAnsi="Times New Roman"/>
          <w:sz w:val="28"/>
          <w:szCs w:val="28"/>
          <w:lang w:val="uk-UA"/>
        </w:rPr>
        <w:t>,</w:t>
      </w:r>
      <w:r>
        <w:rPr>
          <w:rFonts w:ascii="Times New Roman" w:hAnsi="Times New Roman"/>
          <w:sz w:val="28"/>
          <w:szCs w:val="28"/>
          <w:vertAlign w:val="subscript"/>
          <w:lang w:val="uk-UA"/>
        </w:rPr>
        <w:t xml:space="preserve"> </w:t>
      </w:r>
      <w:r>
        <w:rPr>
          <w:rFonts w:ascii="Times New Roman" w:hAnsi="Times New Roman"/>
          <w:i/>
          <w:sz w:val="28"/>
          <w:szCs w:val="28"/>
          <w:lang w:val="uk-UA"/>
        </w:rPr>
        <w:t>х</w:t>
      </w:r>
      <w:r>
        <w:rPr>
          <w:rFonts w:ascii="Times New Roman" w:hAnsi="Times New Roman"/>
          <w:sz w:val="28"/>
          <w:szCs w:val="28"/>
          <w:vertAlign w:val="subscript"/>
          <w:lang w:val="uk-UA"/>
        </w:rPr>
        <w:t>2</w:t>
      </w:r>
      <w:r>
        <w:rPr>
          <w:rFonts w:ascii="Times New Roman" w:hAnsi="Times New Roman"/>
          <w:sz w:val="28"/>
          <w:szCs w:val="28"/>
          <w:lang w:val="uk-UA"/>
        </w:rPr>
        <w:t>,</w:t>
      </w:r>
      <w:r>
        <w:rPr>
          <w:rFonts w:ascii="Times New Roman" w:hAnsi="Times New Roman"/>
          <w:sz w:val="28"/>
          <w:szCs w:val="28"/>
          <w:vertAlign w:val="subscript"/>
          <w:lang w:val="uk-UA"/>
        </w:rPr>
        <w:t xml:space="preserve"> </w:t>
      </w:r>
      <w:r>
        <w:rPr>
          <w:rFonts w:ascii="Times New Roman" w:hAnsi="Times New Roman"/>
          <w:i/>
          <w:sz w:val="28"/>
          <w:szCs w:val="28"/>
          <w:lang w:val="uk-UA"/>
        </w:rPr>
        <w:t>х</w:t>
      </w:r>
      <w:r>
        <w:rPr>
          <w:rFonts w:ascii="Times New Roman" w:hAnsi="Times New Roman"/>
          <w:sz w:val="28"/>
          <w:szCs w:val="28"/>
          <w:vertAlign w:val="subscript"/>
          <w:lang w:val="uk-UA"/>
        </w:rPr>
        <w:t>3</w:t>
      </w:r>
      <w:r>
        <w:rPr>
          <w:rFonts w:ascii="Times New Roman" w:hAnsi="Times New Roman"/>
          <w:sz w:val="28"/>
          <w:szCs w:val="28"/>
          <w:lang w:val="uk-UA"/>
        </w:rPr>
        <w:t>,</w:t>
      </w:r>
      <w:r>
        <w:rPr>
          <w:rFonts w:ascii="Times New Roman" w:hAnsi="Times New Roman"/>
          <w:sz w:val="28"/>
          <w:szCs w:val="28"/>
          <w:vertAlign w:val="subscript"/>
          <w:lang w:val="uk-UA"/>
        </w:rPr>
        <w:t xml:space="preserve"> </w:t>
      </w:r>
      <w:r>
        <w:rPr>
          <w:rFonts w:ascii="Times New Roman" w:hAnsi="Times New Roman"/>
          <w:i/>
          <w:sz w:val="28"/>
          <w:szCs w:val="28"/>
          <w:lang w:val="uk-UA"/>
        </w:rPr>
        <w:t>х</w:t>
      </w:r>
      <w:r>
        <w:rPr>
          <w:rFonts w:ascii="Times New Roman" w:hAnsi="Times New Roman"/>
          <w:sz w:val="28"/>
          <w:szCs w:val="28"/>
          <w:vertAlign w:val="subscript"/>
          <w:lang w:val="uk-UA"/>
        </w:rPr>
        <w:t>4</w:t>
      </w:r>
      <w:r>
        <w:rPr>
          <w:rFonts w:ascii="Times New Roman" w:hAnsi="Times New Roman"/>
          <w:sz w:val="28"/>
          <w:szCs w:val="28"/>
          <w:lang w:val="uk-UA"/>
        </w:rPr>
        <w:t>,</w:t>
      </w:r>
      <w:r>
        <w:rPr>
          <w:rFonts w:ascii="Times New Roman" w:hAnsi="Times New Roman"/>
          <w:sz w:val="28"/>
          <w:szCs w:val="28"/>
          <w:vertAlign w:val="subscript"/>
          <w:lang w:val="uk-UA"/>
        </w:rPr>
        <w:t xml:space="preserve"> </w:t>
      </w:r>
      <w:r>
        <w:rPr>
          <w:rFonts w:ascii="Times New Roman" w:hAnsi="Times New Roman"/>
          <w:i/>
          <w:sz w:val="28"/>
          <w:szCs w:val="28"/>
          <w:lang w:val="uk-UA"/>
        </w:rPr>
        <w:t>х</w:t>
      </w:r>
      <w:r>
        <w:rPr>
          <w:rFonts w:ascii="Times New Roman" w:hAnsi="Times New Roman"/>
          <w:sz w:val="28"/>
          <w:szCs w:val="28"/>
          <w:vertAlign w:val="subscript"/>
          <w:lang w:val="uk-UA"/>
        </w:rPr>
        <w:t>5</w:t>
      </w:r>
      <w:r>
        <w:rPr>
          <w:rFonts w:ascii="Times New Roman" w:hAnsi="Times New Roman"/>
          <w:sz w:val="28"/>
          <w:szCs w:val="28"/>
          <w:lang w:val="uk-UA"/>
        </w:rPr>
        <w:t xml:space="preserve">, </w:t>
      </w:r>
      <w:r>
        <w:rPr>
          <w:rFonts w:ascii="Times New Roman" w:hAnsi="Times New Roman"/>
          <w:i/>
          <w:sz w:val="28"/>
          <w:szCs w:val="28"/>
          <w:lang w:val="uk-UA"/>
        </w:rPr>
        <w:t>х</w:t>
      </w:r>
      <w:r>
        <w:rPr>
          <w:rFonts w:ascii="Times New Roman" w:hAnsi="Times New Roman"/>
          <w:sz w:val="28"/>
          <w:szCs w:val="28"/>
          <w:vertAlign w:val="subscript"/>
          <w:lang w:val="uk-UA"/>
        </w:rPr>
        <w:t>6</w:t>
      </w:r>
      <w:r>
        <w:rPr>
          <w:rFonts w:ascii="Times New Roman" w:hAnsi="Times New Roman"/>
          <w:sz w:val="28"/>
          <w:szCs w:val="28"/>
          <w:lang w:val="uk-UA"/>
        </w:rPr>
        <w:t>,</w:t>
      </w:r>
      <w:r>
        <w:rPr>
          <w:rFonts w:ascii="Times New Roman" w:hAnsi="Times New Roman"/>
          <w:sz w:val="28"/>
          <w:szCs w:val="28"/>
          <w:vertAlign w:val="subscript"/>
          <w:lang w:val="uk-UA"/>
        </w:rPr>
        <w:t xml:space="preserve"> </w:t>
      </w:r>
      <w:r>
        <w:rPr>
          <w:rFonts w:ascii="Times New Roman" w:hAnsi="Times New Roman"/>
          <w:i/>
          <w:sz w:val="28"/>
          <w:szCs w:val="28"/>
          <w:lang w:val="uk-UA"/>
        </w:rPr>
        <w:t>х</w:t>
      </w:r>
      <w:r>
        <w:rPr>
          <w:rFonts w:ascii="Times New Roman" w:hAnsi="Times New Roman"/>
          <w:sz w:val="28"/>
          <w:szCs w:val="28"/>
          <w:vertAlign w:val="subscript"/>
          <w:lang w:val="uk-UA"/>
        </w:rPr>
        <w:t>7</w:t>
      </w:r>
      <w:r>
        <w:rPr>
          <w:rFonts w:ascii="Times New Roman" w:hAnsi="Times New Roman"/>
          <w:sz w:val="28"/>
          <w:szCs w:val="28"/>
          <w:lang w:val="uk-UA"/>
        </w:rPr>
        <w:t xml:space="preserve">, </w:t>
      </w:r>
      <w:r>
        <w:rPr>
          <w:rFonts w:ascii="Times New Roman" w:hAnsi="Times New Roman"/>
          <w:i/>
          <w:sz w:val="28"/>
          <w:szCs w:val="28"/>
          <w:lang w:val="uk-UA"/>
        </w:rPr>
        <w:t>х</w:t>
      </w:r>
      <w:r>
        <w:rPr>
          <w:rFonts w:ascii="Times New Roman" w:hAnsi="Times New Roman"/>
          <w:sz w:val="28"/>
          <w:szCs w:val="28"/>
          <w:vertAlign w:val="subscript"/>
          <w:lang w:val="uk-UA"/>
        </w:rPr>
        <w:t>8</w:t>
      </w:r>
      <w:r>
        <w:rPr>
          <w:rFonts w:ascii="Times New Roman" w:hAnsi="Times New Roman"/>
          <w:sz w:val="28"/>
          <w:szCs w:val="28"/>
          <w:lang w:val="uk-UA"/>
        </w:rPr>
        <w:t xml:space="preserve">, </w:t>
      </w:r>
      <w:r>
        <w:rPr>
          <w:rFonts w:ascii="Times New Roman" w:hAnsi="Times New Roman"/>
          <w:sz w:val="28"/>
          <w:szCs w:val="28"/>
          <w:vertAlign w:val="subscript"/>
          <w:lang w:val="uk-UA"/>
        </w:rPr>
        <w:t xml:space="preserve"> </w:t>
      </w:r>
      <w:r>
        <w:rPr>
          <w:rFonts w:ascii="Times New Roman" w:hAnsi="Times New Roman"/>
          <w:i/>
          <w:sz w:val="28"/>
          <w:szCs w:val="28"/>
          <w:lang w:val="uk-UA"/>
        </w:rPr>
        <w:t>х</w:t>
      </w:r>
      <w:r>
        <w:rPr>
          <w:rFonts w:ascii="Times New Roman" w:hAnsi="Times New Roman"/>
          <w:sz w:val="28"/>
          <w:szCs w:val="28"/>
          <w:vertAlign w:val="subscript"/>
          <w:lang w:val="uk-UA"/>
        </w:rPr>
        <w:t>9</w:t>
      </w:r>
      <w:r>
        <w:rPr>
          <w:rFonts w:ascii="Times New Roman" w:hAnsi="Times New Roman"/>
          <w:sz w:val="28"/>
          <w:szCs w:val="28"/>
          <w:lang w:val="uk-UA"/>
        </w:rPr>
        <w:t xml:space="preserve">, </w:t>
      </w:r>
      <w:r>
        <w:rPr>
          <w:rFonts w:ascii="Times New Roman" w:hAnsi="Times New Roman"/>
          <w:sz w:val="28"/>
          <w:szCs w:val="28"/>
          <w:vertAlign w:val="subscript"/>
          <w:lang w:val="uk-UA"/>
        </w:rPr>
        <w:t xml:space="preserve"> </w:t>
      </w:r>
      <w:r>
        <w:rPr>
          <w:rFonts w:ascii="Times New Roman" w:hAnsi="Times New Roman"/>
          <w:i/>
          <w:sz w:val="28"/>
          <w:szCs w:val="28"/>
          <w:lang w:val="uk-UA"/>
        </w:rPr>
        <w:t>х</w:t>
      </w:r>
      <w:r>
        <w:rPr>
          <w:rFonts w:ascii="Times New Roman" w:hAnsi="Times New Roman"/>
          <w:sz w:val="28"/>
          <w:szCs w:val="28"/>
          <w:vertAlign w:val="subscript"/>
          <w:lang w:val="uk-UA"/>
        </w:rPr>
        <w:t>10</w:t>
      </w:r>
      <w:r>
        <w:rPr>
          <w:rFonts w:ascii="Times New Roman" w:hAnsi="Times New Roman"/>
          <w:sz w:val="28"/>
          <w:szCs w:val="28"/>
          <w:lang w:val="uk-UA"/>
        </w:rPr>
        <w:t xml:space="preserve"> – фактичні індикатори фінансового стану підприємства (табл. 2).</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Такий підхід до обчислення інтегрального показника вимагає, щоб відносне зменшення значення одного локального показника фінансової безпеки підприємства не було нижчим за відносне збільшення іншого показника, тобто зниження відносного значення одного показника повинно компенсуватися за рахунок збільшення значень інших показників.</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Фактичне значення інтегрального показника рівня фінансової безпеки досліджуваного підприємства дорівнює:</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center"/>
        <w:rPr>
          <w:rFonts w:ascii="Times New Roman" w:hAnsi="Times New Roman"/>
          <w:sz w:val="28"/>
          <w:szCs w:val="28"/>
          <w:lang w:val="uk-UA"/>
        </w:rPr>
      </w:pPr>
      <w:r>
        <w:rPr>
          <w:rFonts w:ascii="Times New Roman" w:hAnsi="Times New Roman"/>
          <w:i/>
          <w:sz w:val="28"/>
          <w:szCs w:val="28"/>
          <w:lang w:val="uk-UA"/>
        </w:rPr>
        <w:t>I</w:t>
      </w:r>
      <w:r>
        <w:rPr>
          <w:rFonts w:ascii="Times New Roman" w:hAnsi="Times New Roman"/>
          <w:sz w:val="28"/>
          <w:szCs w:val="28"/>
          <w:lang w:val="uk-UA"/>
        </w:rPr>
        <w:t xml:space="preserve"> = 0,0279.</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Інтегральне значення показника рівня фінансової безпеки для «еталонного» підприємства становить:</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center"/>
        <w:rPr>
          <w:rFonts w:ascii="Times New Roman" w:hAnsi="Times New Roman"/>
          <w:sz w:val="28"/>
          <w:szCs w:val="28"/>
          <w:lang w:val="uk-UA"/>
        </w:rPr>
      </w:pPr>
      <w:proofErr w:type="spellStart"/>
      <w:r>
        <w:rPr>
          <w:rFonts w:ascii="Times New Roman" w:hAnsi="Times New Roman"/>
          <w:i/>
          <w:sz w:val="28"/>
          <w:szCs w:val="28"/>
          <w:lang w:val="uk-UA"/>
        </w:rPr>
        <w:t>I</w:t>
      </w:r>
      <w:r>
        <w:rPr>
          <w:rFonts w:ascii="Times New Roman" w:hAnsi="Times New Roman"/>
          <w:i/>
          <w:sz w:val="28"/>
          <w:szCs w:val="28"/>
          <w:vertAlign w:val="subscript"/>
          <w:lang w:val="uk-UA"/>
        </w:rPr>
        <w:t>е</w:t>
      </w:r>
      <w:proofErr w:type="spellEnd"/>
      <w:r>
        <w:rPr>
          <w:rFonts w:ascii="Times New Roman" w:hAnsi="Times New Roman"/>
          <w:sz w:val="28"/>
          <w:szCs w:val="28"/>
          <w:lang w:val="uk-UA"/>
        </w:rPr>
        <w:t xml:space="preserve"> = 0,0504.</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Для оцінювання наближення стану системи фінансової безпеки досліджуваного підприємства до «еталонного» потрібно порівняти інтегральні показники фінансової безпеки цих підприємств. Знайдемо відношення R узагальнених індикаторів рівнів фінансової безпеки досліджуваного та «еталонного» підприємств (у відсотках):</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right"/>
        <w:rPr>
          <w:rFonts w:ascii="Times New Roman" w:hAnsi="Times New Roman"/>
          <w:sz w:val="28"/>
          <w:szCs w:val="28"/>
          <w:lang w:val="uk-UA"/>
        </w:rPr>
      </w:pPr>
      <w:r>
        <w:rPr>
          <w:rFonts w:ascii="Times New Roman" w:hAnsi="Times New Roman"/>
          <w:noProof/>
          <w:position w:val="-34"/>
          <w:sz w:val="28"/>
          <w:szCs w:val="28"/>
        </w:rPr>
        <w:drawing>
          <wp:inline distT="0" distB="0" distL="0" distR="0">
            <wp:extent cx="1012190" cy="4972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2190" cy="497205"/>
                    </a:xfrm>
                    <a:prstGeom prst="rect">
                      <a:avLst/>
                    </a:prstGeom>
                    <a:noFill/>
                    <a:ln>
                      <a:noFill/>
                    </a:ln>
                  </pic:spPr>
                </pic:pic>
              </a:graphicData>
            </a:graphic>
          </wp:inline>
        </w:drawing>
      </w:r>
      <w:r>
        <w:rPr>
          <w:rFonts w:ascii="Times New Roman" w:hAnsi="Times New Roman"/>
          <w:sz w:val="28"/>
          <w:szCs w:val="28"/>
          <w:lang w:val="uk-UA"/>
        </w:rPr>
        <w:t xml:space="preserve"> ,                                          (3)</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де </w:t>
      </w:r>
      <w:r>
        <w:rPr>
          <w:rFonts w:ascii="Times New Roman" w:hAnsi="Times New Roman"/>
          <w:i/>
          <w:sz w:val="28"/>
          <w:szCs w:val="28"/>
          <w:lang w:val="uk-UA"/>
        </w:rPr>
        <w:t xml:space="preserve">І </w:t>
      </w:r>
      <w:r>
        <w:rPr>
          <w:rFonts w:ascii="Times New Roman" w:hAnsi="Times New Roman"/>
          <w:sz w:val="28"/>
          <w:szCs w:val="28"/>
          <w:lang w:val="uk-UA"/>
        </w:rPr>
        <w:t>– фактичне значення інтегрального показника;</w:t>
      </w:r>
    </w:p>
    <w:p w:rsidR="00D0719D" w:rsidRDefault="00D0719D" w:rsidP="00D0719D">
      <w:pPr>
        <w:ind w:firstLine="709"/>
        <w:jc w:val="both"/>
        <w:rPr>
          <w:rFonts w:ascii="Times New Roman" w:hAnsi="Times New Roman"/>
          <w:sz w:val="28"/>
          <w:szCs w:val="28"/>
          <w:lang w:val="uk-UA"/>
        </w:rPr>
      </w:pPr>
      <w:proofErr w:type="spellStart"/>
      <w:r>
        <w:rPr>
          <w:rFonts w:ascii="Times New Roman" w:hAnsi="Times New Roman"/>
          <w:i/>
          <w:sz w:val="28"/>
          <w:szCs w:val="28"/>
          <w:lang w:val="uk-UA"/>
        </w:rPr>
        <w:t>I</w:t>
      </w:r>
      <w:r>
        <w:rPr>
          <w:rFonts w:ascii="Times New Roman" w:hAnsi="Times New Roman"/>
          <w:i/>
          <w:sz w:val="28"/>
          <w:szCs w:val="28"/>
          <w:vertAlign w:val="subscript"/>
          <w:lang w:val="uk-UA"/>
        </w:rPr>
        <w:t>е</w:t>
      </w:r>
      <w:proofErr w:type="spellEnd"/>
      <w:r>
        <w:rPr>
          <w:rFonts w:ascii="Times New Roman" w:hAnsi="Times New Roman"/>
          <w:i/>
          <w:sz w:val="28"/>
          <w:szCs w:val="28"/>
          <w:vertAlign w:val="subscript"/>
          <w:lang w:val="uk-UA"/>
        </w:rPr>
        <w:t xml:space="preserve"> </w:t>
      </w:r>
      <w:r>
        <w:rPr>
          <w:rFonts w:ascii="Times New Roman" w:hAnsi="Times New Roman"/>
          <w:sz w:val="28"/>
          <w:szCs w:val="28"/>
          <w:lang w:val="uk-UA"/>
        </w:rPr>
        <w:t>– інтегральне значення показника для «еталонного» підприємства.</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 xml:space="preserve">Для нашого випадку </w:t>
      </w:r>
      <w:r>
        <w:rPr>
          <w:rFonts w:ascii="Times New Roman" w:hAnsi="Times New Roman"/>
          <w:i/>
          <w:sz w:val="28"/>
          <w:szCs w:val="28"/>
          <w:lang w:val="uk-UA"/>
        </w:rPr>
        <w:t xml:space="preserve">R </w:t>
      </w:r>
      <w:r>
        <w:rPr>
          <w:rFonts w:ascii="Times New Roman" w:hAnsi="Times New Roman"/>
          <w:sz w:val="28"/>
          <w:szCs w:val="28"/>
          <w:lang w:val="uk-UA"/>
        </w:rPr>
        <w:t>= 55,44%, тобто рівень фінансового стану досліджуваного підприємства нижчий від рівня фінансового стану «еталонного» підприємства на 44,56%, а це означає, що рівень фінансової безпеки підприємства є незадовільним.</w:t>
      </w:r>
    </w:p>
    <w:p w:rsidR="00D0719D" w:rsidRDefault="00D0719D" w:rsidP="00D0719D">
      <w:pPr>
        <w:ind w:firstLine="709"/>
        <w:jc w:val="both"/>
        <w:rPr>
          <w:rFonts w:ascii="Times New Roman" w:hAnsi="Times New Roman" w:cs="Times New Roman"/>
          <w:sz w:val="28"/>
          <w:szCs w:val="28"/>
          <w:lang w:val="uk-UA"/>
        </w:rPr>
      </w:pPr>
    </w:p>
    <w:p w:rsidR="00D0719D" w:rsidRDefault="00D0719D" w:rsidP="00D0719D">
      <w:pPr>
        <w:shd w:val="clear" w:color="auto" w:fill="FFFFFF"/>
        <w:ind w:left="317"/>
        <w:jc w:val="center"/>
        <w:rPr>
          <w:rFonts w:ascii="Times New Roman" w:hAnsi="Times New Roman" w:cs="Times New Roman"/>
          <w:lang w:val="uk-UA"/>
        </w:rPr>
      </w:pPr>
      <w:bookmarkStart w:id="0" w:name="_GoBack"/>
      <w:bookmarkEnd w:id="0"/>
      <w:r>
        <w:rPr>
          <w:rFonts w:ascii="Times New Roman" w:hAnsi="Times New Roman" w:cs="Times New Roman"/>
          <w:color w:val="000000"/>
          <w:spacing w:val="-3"/>
          <w:sz w:val="28"/>
          <w:szCs w:val="28"/>
          <w:lang w:val="uk-UA"/>
        </w:rPr>
        <w:t>СПИСОК РЕКОМЕНДОВАНОЇ ЛІТЕРАТУРИ</w:t>
      </w:r>
    </w:p>
    <w:p w:rsidR="00D0719D" w:rsidRDefault="00D0719D" w:rsidP="00D0719D">
      <w:pPr>
        <w:rPr>
          <w:lang w:val="uk-UA"/>
        </w:rPr>
      </w:pPr>
    </w:p>
    <w:p w:rsidR="00D0719D" w:rsidRDefault="00D0719D" w:rsidP="00D0719D">
      <w:pPr>
        <w:tabs>
          <w:tab w:val="left" w:pos="993"/>
        </w:tabs>
        <w:ind w:left="60" w:firstLine="649"/>
        <w:jc w:val="both"/>
        <w:rPr>
          <w:rFonts w:ascii="Times New Roman" w:hAnsi="Times New Roman" w:cs="Times New Roman"/>
          <w:b/>
          <w:sz w:val="28"/>
          <w:lang w:val="uk-UA"/>
        </w:rPr>
      </w:pPr>
      <w:r>
        <w:rPr>
          <w:rFonts w:ascii="Times New Roman" w:hAnsi="Times New Roman" w:cs="Times New Roman"/>
          <w:b/>
          <w:sz w:val="28"/>
          <w:lang w:val="uk-UA"/>
        </w:rPr>
        <w:t>Основна:</w:t>
      </w:r>
    </w:p>
    <w:p w:rsidR="00D0719D" w:rsidRDefault="00D0719D" w:rsidP="00D0719D">
      <w:pPr>
        <w:ind w:firstLine="709"/>
        <w:jc w:val="both"/>
        <w:rPr>
          <w:rFonts w:ascii="Times New Roman" w:hAnsi="Times New Roman" w:cs="Times New Roman"/>
          <w:sz w:val="28"/>
          <w:szCs w:val="28"/>
        </w:rPr>
      </w:pPr>
      <w:r>
        <w:rPr>
          <w:rFonts w:ascii="Times New Roman" w:hAnsi="Times New Roman" w:cs="Times New Roman"/>
          <w:sz w:val="28"/>
          <w:szCs w:val="28"/>
          <w:lang w:val="uk-UA" w:eastAsia="en-US"/>
        </w:rPr>
        <w:t xml:space="preserve">1. </w:t>
      </w:r>
      <w:proofErr w:type="spellStart"/>
      <w:r>
        <w:rPr>
          <w:rFonts w:ascii="Times New Roman" w:hAnsi="Times New Roman" w:cs="Times New Roman"/>
          <w:sz w:val="28"/>
          <w:szCs w:val="28"/>
          <w:lang w:val="uk-UA" w:eastAsia="en-US"/>
        </w:rPr>
        <w:t>Андрущків</w:t>
      </w:r>
      <w:proofErr w:type="spellEnd"/>
      <w:r>
        <w:rPr>
          <w:rFonts w:ascii="Times New Roman" w:hAnsi="Times New Roman" w:cs="Times New Roman"/>
          <w:sz w:val="28"/>
          <w:szCs w:val="28"/>
          <w:lang w:val="uk-UA" w:eastAsia="en-US"/>
        </w:rPr>
        <w:t xml:space="preserve"> Б.М., Вовк Ю.Я, Дудкін П.Д. Економічна та майнова безпека підприємства і підприємництва. </w:t>
      </w:r>
      <w:proofErr w:type="spellStart"/>
      <w:r>
        <w:rPr>
          <w:rFonts w:ascii="Times New Roman" w:hAnsi="Times New Roman" w:cs="Times New Roman"/>
          <w:sz w:val="28"/>
          <w:szCs w:val="28"/>
          <w:lang w:eastAsia="en-US"/>
        </w:rPr>
        <w:t>Антирейдерство</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Підр</w:t>
      </w:r>
      <w:proofErr w:type="spellEnd"/>
      <w:r>
        <w:rPr>
          <w:rFonts w:ascii="Times New Roman" w:hAnsi="Times New Roman" w:cs="Times New Roman"/>
          <w:sz w:val="28"/>
          <w:szCs w:val="28"/>
          <w:lang w:eastAsia="en-US"/>
        </w:rPr>
        <w:t xml:space="preserve">. Т.: </w:t>
      </w:r>
      <w:proofErr w:type="spellStart"/>
      <w:r>
        <w:rPr>
          <w:rFonts w:ascii="Times New Roman" w:hAnsi="Times New Roman" w:cs="Times New Roman"/>
          <w:sz w:val="28"/>
          <w:szCs w:val="28"/>
          <w:lang w:eastAsia="en-US"/>
        </w:rPr>
        <w:t>Тернограф</w:t>
      </w:r>
      <w:proofErr w:type="spellEnd"/>
      <w:r>
        <w:rPr>
          <w:rFonts w:ascii="Times New Roman" w:hAnsi="Times New Roman" w:cs="Times New Roman"/>
          <w:sz w:val="28"/>
          <w:szCs w:val="28"/>
          <w:lang w:eastAsia="en-US"/>
        </w:rPr>
        <w:t xml:space="preserve">, 2008. </w:t>
      </w:r>
    </w:p>
    <w:p w:rsidR="00D0719D" w:rsidRDefault="00D0719D" w:rsidP="00D0719D">
      <w:pPr>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 2. Кавун С.В. Система </w:t>
      </w:r>
      <w:proofErr w:type="spellStart"/>
      <w:r>
        <w:rPr>
          <w:rFonts w:ascii="Times New Roman" w:hAnsi="Times New Roman" w:cs="Times New Roman"/>
          <w:sz w:val="28"/>
          <w:szCs w:val="28"/>
          <w:lang w:eastAsia="en-US"/>
        </w:rPr>
        <w:t>економічної</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безпеки</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методологічні</w:t>
      </w:r>
      <w:proofErr w:type="spellEnd"/>
      <w:r>
        <w:rPr>
          <w:rFonts w:ascii="Times New Roman" w:hAnsi="Times New Roman" w:cs="Times New Roman"/>
          <w:sz w:val="28"/>
          <w:szCs w:val="28"/>
          <w:lang w:eastAsia="en-US"/>
        </w:rPr>
        <w:t xml:space="preserve"> та </w:t>
      </w:r>
      <w:proofErr w:type="spellStart"/>
      <w:r>
        <w:rPr>
          <w:rFonts w:ascii="Times New Roman" w:hAnsi="Times New Roman" w:cs="Times New Roman"/>
          <w:sz w:val="28"/>
          <w:szCs w:val="28"/>
          <w:lang w:eastAsia="en-US"/>
        </w:rPr>
        <w:t>методичні</w:t>
      </w:r>
      <w:proofErr w:type="spellEnd"/>
      <w:r>
        <w:rPr>
          <w:rFonts w:ascii="Times New Roman" w:hAnsi="Times New Roman" w:cs="Times New Roman"/>
          <w:sz w:val="28"/>
          <w:szCs w:val="28"/>
          <w:lang w:eastAsia="en-US"/>
        </w:rPr>
        <w:t xml:space="preserve"> засади. </w:t>
      </w:r>
      <w:proofErr w:type="spellStart"/>
      <w:r>
        <w:rPr>
          <w:rFonts w:ascii="Times New Roman" w:hAnsi="Times New Roman" w:cs="Times New Roman"/>
          <w:sz w:val="28"/>
          <w:szCs w:val="28"/>
          <w:lang w:eastAsia="en-US"/>
        </w:rPr>
        <w:t>Монографія</w:t>
      </w:r>
      <w:proofErr w:type="spellEnd"/>
      <w:r>
        <w:rPr>
          <w:rFonts w:ascii="Times New Roman" w:hAnsi="Times New Roman" w:cs="Times New Roman"/>
          <w:sz w:val="28"/>
          <w:szCs w:val="28"/>
          <w:lang w:eastAsia="en-US"/>
        </w:rPr>
        <w:t xml:space="preserve">. В-во ХНЕУ, 2009. </w:t>
      </w:r>
    </w:p>
    <w:p w:rsidR="00D0719D" w:rsidRDefault="00D0719D" w:rsidP="00D0719D">
      <w:pPr>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 3. Кузенко Т.Б., Мартюшева Л.С., </w:t>
      </w:r>
      <w:proofErr w:type="spellStart"/>
      <w:r>
        <w:rPr>
          <w:rFonts w:ascii="Times New Roman" w:hAnsi="Times New Roman" w:cs="Times New Roman"/>
          <w:sz w:val="28"/>
          <w:szCs w:val="28"/>
          <w:lang w:eastAsia="en-US"/>
        </w:rPr>
        <w:t>Грачов</w:t>
      </w:r>
      <w:proofErr w:type="spellEnd"/>
      <w:r>
        <w:rPr>
          <w:rFonts w:ascii="Times New Roman" w:hAnsi="Times New Roman" w:cs="Times New Roman"/>
          <w:sz w:val="28"/>
          <w:szCs w:val="28"/>
          <w:lang w:eastAsia="en-US"/>
        </w:rPr>
        <w:t xml:space="preserve"> О.В., Литовченко О.Ю. </w:t>
      </w:r>
      <w:proofErr w:type="spellStart"/>
      <w:r>
        <w:rPr>
          <w:rFonts w:ascii="Times New Roman" w:hAnsi="Times New Roman" w:cs="Times New Roman"/>
          <w:sz w:val="28"/>
          <w:szCs w:val="28"/>
          <w:lang w:eastAsia="en-US"/>
        </w:rPr>
        <w:t>Фінансова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безпека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підприємства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Навч</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посіб</w:t>
      </w:r>
      <w:proofErr w:type="spellEnd"/>
      <w:r>
        <w:rPr>
          <w:rFonts w:ascii="Times New Roman" w:hAnsi="Times New Roman" w:cs="Times New Roman"/>
          <w:sz w:val="28"/>
          <w:szCs w:val="28"/>
          <w:lang w:eastAsia="en-US"/>
        </w:rPr>
        <w:t xml:space="preserve">. Х.: Вид-во ХНЕУ, 2010. </w:t>
      </w:r>
    </w:p>
    <w:p w:rsidR="00D0719D" w:rsidRDefault="00D0719D" w:rsidP="00D0719D">
      <w:pPr>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 4. </w:t>
      </w:r>
      <w:proofErr w:type="spellStart"/>
      <w:r>
        <w:rPr>
          <w:rFonts w:ascii="Times New Roman" w:hAnsi="Times New Roman" w:cs="Times New Roman"/>
          <w:sz w:val="28"/>
          <w:szCs w:val="28"/>
          <w:lang w:eastAsia="en-US"/>
        </w:rPr>
        <w:t>Кузнєцов</w:t>
      </w:r>
      <w:proofErr w:type="spellEnd"/>
      <w:r>
        <w:rPr>
          <w:rFonts w:ascii="Times New Roman" w:hAnsi="Times New Roman" w:cs="Times New Roman"/>
          <w:sz w:val="28"/>
          <w:szCs w:val="28"/>
          <w:lang w:eastAsia="en-US"/>
        </w:rPr>
        <w:t xml:space="preserve"> О.О., </w:t>
      </w:r>
      <w:proofErr w:type="spellStart"/>
      <w:r>
        <w:rPr>
          <w:rFonts w:ascii="Times New Roman" w:hAnsi="Times New Roman" w:cs="Times New Roman"/>
          <w:sz w:val="28"/>
          <w:szCs w:val="28"/>
          <w:lang w:eastAsia="en-US"/>
        </w:rPr>
        <w:t>Євсєєв</w:t>
      </w:r>
      <w:proofErr w:type="spellEnd"/>
      <w:r>
        <w:rPr>
          <w:rFonts w:ascii="Times New Roman" w:hAnsi="Times New Roman" w:cs="Times New Roman"/>
          <w:sz w:val="28"/>
          <w:szCs w:val="28"/>
          <w:lang w:eastAsia="en-US"/>
        </w:rPr>
        <w:t xml:space="preserve"> С.П., Кавун С.В. </w:t>
      </w:r>
      <w:proofErr w:type="spellStart"/>
      <w:r>
        <w:rPr>
          <w:rFonts w:ascii="Times New Roman" w:hAnsi="Times New Roman" w:cs="Times New Roman"/>
          <w:sz w:val="28"/>
          <w:szCs w:val="28"/>
          <w:lang w:eastAsia="en-US"/>
        </w:rPr>
        <w:t>Захист</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інформації</w:t>
      </w:r>
      <w:proofErr w:type="spellEnd"/>
      <w:r>
        <w:rPr>
          <w:rFonts w:ascii="Times New Roman" w:hAnsi="Times New Roman" w:cs="Times New Roman"/>
          <w:sz w:val="28"/>
          <w:szCs w:val="28"/>
          <w:lang w:eastAsia="en-US"/>
        </w:rPr>
        <w:t xml:space="preserve"> та </w:t>
      </w:r>
      <w:proofErr w:type="spellStart"/>
      <w:r>
        <w:rPr>
          <w:rFonts w:ascii="Times New Roman" w:hAnsi="Times New Roman" w:cs="Times New Roman"/>
          <w:sz w:val="28"/>
          <w:szCs w:val="28"/>
          <w:lang w:eastAsia="en-US"/>
        </w:rPr>
        <w:t>економічна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безпека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підприємства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Монографія</w:t>
      </w:r>
      <w:proofErr w:type="spellEnd"/>
      <w:r>
        <w:rPr>
          <w:rFonts w:ascii="Times New Roman" w:hAnsi="Times New Roman" w:cs="Times New Roman"/>
          <w:sz w:val="28"/>
          <w:szCs w:val="28"/>
          <w:lang w:eastAsia="en-US"/>
        </w:rPr>
        <w:t xml:space="preserve">. В-во ХНЕУ, 2008. </w:t>
      </w:r>
    </w:p>
    <w:p w:rsidR="00D0719D" w:rsidRDefault="00D0719D" w:rsidP="00D0719D">
      <w:pPr>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5. </w:t>
      </w:r>
      <w:proofErr w:type="spellStart"/>
      <w:r>
        <w:rPr>
          <w:rFonts w:ascii="Times New Roman" w:hAnsi="Times New Roman" w:cs="Times New Roman"/>
          <w:sz w:val="28"/>
          <w:szCs w:val="28"/>
          <w:lang w:eastAsia="en-US"/>
        </w:rPr>
        <w:t>Маляревський</w:t>
      </w:r>
      <w:proofErr w:type="spellEnd"/>
      <w:r>
        <w:rPr>
          <w:rFonts w:ascii="Times New Roman" w:hAnsi="Times New Roman" w:cs="Times New Roman"/>
          <w:sz w:val="28"/>
          <w:szCs w:val="28"/>
          <w:lang w:eastAsia="en-US"/>
        </w:rPr>
        <w:t xml:space="preserve"> Ю.Д., </w:t>
      </w:r>
      <w:proofErr w:type="spellStart"/>
      <w:r>
        <w:rPr>
          <w:rFonts w:ascii="Times New Roman" w:hAnsi="Times New Roman" w:cs="Times New Roman"/>
          <w:sz w:val="28"/>
          <w:szCs w:val="28"/>
          <w:lang w:eastAsia="en-US"/>
        </w:rPr>
        <w:t>Лабунська</w:t>
      </w:r>
      <w:proofErr w:type="spellEnd"/>
      <w:r>
        <w:rPr>
          <w:rFonts w:ascii="Times New Roman" w:hAnsi="Times New Roman" w:cs="Times New Roman"/>
          <w:sz w:val="28"/>
          <w:szCs w:val="28"/>
          <w:lang w:eastAsia="en-US"/>
        </w:rPr>
        <w:t xml:space="preserve"> С.В., </w:t>
      </w:r>
      <w:proofErr w:type="spellStart"/>
      <w:r>
        <w:rPr>
          <w:rFonts w:ascii="Times New Roman" w:hAnsi="Times New Roman" w:cs="Times New Roman"/>
          <w:sz w:val="28"/>
          <w:szCs w:val="28"/>
          <w:lang w:eastAsia="en-US"/>
        </w:rPr>
        <w:t>Прокопішина</w:t>
      </w:r>
      <w:proofErr w:type="spellEnd"/>
      <w:r>
        <w:rPr>
          <w:rFonts w:ascii="Times New Roman" w:hAnsi="Times New Roman" w:cs="Times New Roman"/>
          <w:sz w:val="28"/>
          <w:szCs w:val="28"/>
          <w:lang w:eastAsia="en-US"/>
        </w:rPr>
        <w:t xml:space="preserve"> О.В. </w:t>
      </w:r>
      <w:proofErr w:type="spellStart"/>
      <w:r>
        <w:rPr>
          <w:rFonts w:ascii="Times New Roman" w:hAnsi="Times New Roman" w:cs="Times New Roman"/>
          <w:sz w:val="28"/>
          <w:szCs w:val="28"/>
          <w:lang w:eastAsia="en-US"/>
        </w:rPr>
        <w:t>Управління</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економічною</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безпекою</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зовнішньоекономічної</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діяльності</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підприємства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обліково-аналітичні</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аспекти</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Монографія</w:t>
      </w:r>
      <w:proofErr w:type="spellEnd"/>
      <w:r>
        <w:rPr>
          <w:rFonts w:ascii="Times New Roman" w:hAnsi="Times New Roman" w:cs="Times New Roman"/>
          <w:sz w:val="28"/>
          <w:szCs w:val="28"/>
          <w:lang w:eastAsia="en-US"/>
        </w:rPr>
        <w:t xml:space="preserve">. Вид-во ХНЕУ, 2009. </w:t>
      </w:r>
    </w:p>
    <w:p w:rsidR="00D0719D" w:rsidRDefault="00D0719D" w:rsidP="00D0719D">
      <w:pPr>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 6. </w:t>
      </w:r>
      <w:proofErr w:type="spellStart"/>
      <w:r>
        <w:rPr>
          <w:rFonts w:ascii="Times New Roman" w:hAnsi="Times New Roman" w:cs="Times New Roman"/>
          <w:sz w:val="28"/>
          <w:szCs w:val="28"/>
          <w:lang w:eastAsia="en-US"/>
        </w:rPr>
        <w:t>Ортинський</w:t>
      </w:r>
      <w:proofErr w:type="spellEnd"/>
      <w:r>
        <w:rPr>
          <w:rFonts w:ascii="Times New Roman" w:hAnsi="Times New Roman" w:cs="Times New Roman"/>
          <w:sz w:val="28"/>
          <w:szCs w:val="28"/>
          <w:lang w:eastAsia="en-US"/>
        </w:rPr>
        <w:t xml:space="preserve"> В.Л., </w:t>
      </w:r>
      <w:proofErr w:type="spellStart"/>
      <w:r>
        <w:rPr>
          <w:rFonts w:ascii="Times New Roman" w:hAnsi="Times New Roman" w:cs="Times New Roman"/>
          <w:sz w:val="28"/>
          <w:szCs w:val="28"/>
          <w:lang w:eastAsia="en-US"/>
        </w:rPr>
        <w:t>Керницький</w:t>
      </w:r>
      <w:proofErr w:type="spellEnd"/>
      <w:r>
        <w:rPr>
          <w:rFonts w:ascii="Times New Roman" w:hAnsi="Times New Roman" w:cs="Times New Roman"/>
          <w:sz w:val="28"/>
          <w:szCs w:val="28"/>
          <w:lang w:eastAsia="en-US"/>
        </w:rPr>
        <w:t xml:space="preserve"> І.С., </w:t>
      </w:r>
      <w:proofErr w:type="spellStart"/>
      <w:r>
        <w:rPr>
          <w:rFonts w:ascii="Times New Roman" w:hAnsi="Times New Roman" w:cs="Times New Roman"/>
          <w:sz w:val="28"/>
          <w:szCs w:val="28"/>
          <w:lang w:eastAsia="en-US"/>
        </w:rPr>
        <w:t>Живко</w:t>
      </w:r>
      <w:proofErr w:type="spellEnd"/>
      <w:r>
        <w:rPr>
          <w:rFonts w:ascii="Times New Roman" w:hAnsi="Times New Roman" w:cs="Times New Roman"/>
          <w:sz w:val="28"/>
          <w:szCs w:val="28"/>
          <w:lang w:eastAsia="en-US"/>
        </w:rPr>
        <w:t xml:space="preserve"> З.Б. та </w:t>
      </w:r>
      <w:proofErr w:type="spellStart"/>
      <w:r>
        <w:rPr>
          <w:rFonts w:ascii="Times New Roman" w:hAnsi="Times New Roman" w:cs="Times New Roman"/>
          <w:sz w:val="28"/>
          <w:szCs w:val="28"/>
          <w:lang w:eastAsia="en-US"/>
        </w:rPr>
        <w:t>ін</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Економічна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безпека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підприємств</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організацій</w:t>
      </w:r>
      <w:proofErr w:type="spellEnd"/>
      <w:r>
        <w:rPr>
          <w:rFonts w:ascii="Times New Roman" w:hAnsi="Times New Roman" w:cs="Times New Roman"/>
          <w:sz w:val="28"/>
          <w:szCs w:val="28"/>
          <w:lang w:eastAsia="en-US"/>
        </w:rPr>
        <w:t xml:space="preserve"> та </w:t>
      </w:r>
      <w:proofErr w:type="spellStart"/>
      <w:r>
        <w:rPr>
          <w:rFonts w:ascii="Times New Roman" w:hAnsi="Times New Roman" w:cs="Times New Roman"/>
          <w:sz w:val="28"/>
          <w:szCs w:val="28"/>
          <w:lang w:eastAsia="en-US"/>
        </w:rPr>
        <w:t>установ</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Навч.посіб</w:t>
      </w:r>
      <w:proofErr w:type="spellEnd"/>
      <w:r>
        <w:rPr>
          <w:rFonts w:ascii="Times New Roman" w:hAnsi="Times New Roman" w:cs="Times New Roman"/>
          <w:sz w:val="28"/>
          <w:szCs w:val="28"/>
          <w:lang w:eastAsia="en-US"/>
        </w:rPr>
        <w:t xml:space="preserve">. К.: </w:t>
      </w:r>
      <w:proofErr w:type="spellStart"/>
      <w:r>
        <w:rPr>
          <w:rFonts w:ascii="Times New Roman" w:hAnsi="Times New Roman" w:cs="Times New Roman"/>
          <w:sz w:val="28"/>
          <w:szCs w:val="28"/>
          <w:lang w:eastAsia="en-US"/>
        </w:rPr>
        <w:t>Правова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єдність</w:t>
      </w:r>
      <w:proofErr w:type="spellEnd"/>
      <w:r>
        <w:rPr>
          <w:rFonts w:ascii="Times New Roman" w:hAnsi="Times New Roman" w:cs="Times New Roman"/>
          <w:sz w:val="28"/>
          <w:szCs w:val="28"/>
          <w:lang w:eastAsia="en-US"/>
        </w:rPr>
        <w:t xml:space="preserve">, 2009. </w:t>
      </w:r>
    </w:p>
    <w:p w:rsidR="00D0719D" w:rsidRDefault="00D0719D" w:rsidP="00D0719D">
      <w:pPr>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7. </w:t>
      </w:r>
      <w:proofErr w:type="spellStart"/>
      <w:r>
        <w:rPr>
          <w:rFonts w:ascii="Times New Roman" w:hAnsi="Times New Roman" w:cs="Times New Roman"/>
          <w:sz w:val="28"/>
          <w:szCs w:val="28"/>
          <w:lang w:eastAsia="en-US"/>
        </w:rPr>
        <w:t>Хома</w:t>
      </w:r>
      <w:proofErr w:type="spellEnd"/>
      <w:r>
        <w:rPr>
          <w:rFonts w:ascii="Times New Roman" w:hAnsi="Times New Roman" w:cs="Times New Roman"/>
          <w:sz w:val="28"/>
          <w:szCs w:val="28"/>
          <w:lang w:eastAsia="en-US"/>
        </w:rPr>
        <w:t xml:space="preserve"> І.Б. Структурно-</w:t>
      </w:r>
      <w:proofErr w:type="spellStart"/>
      <w:r>
        <w:rPr>
          <w:rFonts w:ascii="Times New Roman" w:hAnsi="Times New Roman" w:cs="Times New Roman"/>
          <w:sz w:val="28"/>
          <w:szCs w:val="28"/>
          <w:lang w:eastAsia="en-US"/>
        </w:rPr>
        <w:t>функціональна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діагностика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рівня</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економічної</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безпеки</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машинобудівного</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підприємства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Монографія</w:t>
      </w:r>
      <w:proofErr w:type="spellEnd"/>
      <w:r>
        <w:rPr>
          <w:rFonts w:ascii="Times New Roman" w:hAnsi="Times New Roman" w:cs="Times New Roman"/>
          <w:sz w:val="28"/>
          <w:szCs w:val="28"/>
          <w:lang w:eastAsia="en-US"/>
        </w:rPr>
        <w:t>. Вид-во НУ "</w:t>
      </w:r>
      <w:proofErr w:type="spellStart"/>
      <w:r>
        <w:rPr>
          <w:rFonts w:ascii="Times New Roman" w:hAnsi="Times New Roman" w:cs="Times New Roman"/>
          <w:sz w:val="28"/>
          <w:szCs w:val="28"/>
          <w:lang w:eastAsia="en-US"/>
        </w:rPr>
        <w:t>Львівська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політехніка</w:t>
      </w:r>
      <w:proofErr w:type="spellEnd"/>
      <w:r>
        <w:rPr>
          <w:rFonts w:ascii="Times New Roman" w:hAnsi="Times New Roman" w:cs="Times New Roman"/>
          <w:sz w:val="28"/>
          <w:szCs w:val="28"/>
          <w:lang w:eastAsia="en-US"/>
        </w:rPr>
        <w:t xml:space="preserve">", 2010. </w:t>
      </w:r>
    </w:p>
    <w:p w:rsidR="00D0719D" w:rsidRDefault="00D0719D" w:rsidP="00D0719D">
      <w:pPr>
        <w:tabs>
          <w:tab w:val="left" w:pos="993"/>
        </w:tabs>
        <w:jc w:val="both"/>
        <w:rPr>
          <w:rFonts w:ascii="Times New Roman" w:hAnsi="Times New Roman" w:cs="Times New Roman"/>
          <w:sz w:val="28"/>
        </w:rPr>
      </w:pPr>
    </w:p>
    <w:p w:rsidR="00D0719D" w:rsidRDefault="00D0719D" w:rsidP="00D0719D">
      <w:pPr>
        <w:tabs>
          <w:tab w:val="left" w:pos="993"/>
        </w:tabs>
        <w:ind w:left="60" w:firstLine="649"/>
        <w:jc w:val="both"/>
        <w:rPr>
          <w:rFonts w:ascii="Times New Roman" w:hAnsi="Times New Roman" w:cs="Times New Roman"/>
          <w:b/>
          <w:sz w:val="28"/>
        </w:rPr>
      </w:pPr>
      <w:proofErr w:type="spellStart"/>
      <w:r>
        <w:rPr>
          <w:rFonts w:ascii="Times New Roman" w:hAnsi="Times New Roman" w:cs="Times New Roman"/>
          <w:b/>
          <w:sz w:val="28"/>
        </w:rPr>
        <w:t>Додаткова</w:t>
      </w:r>
      <w:proofErr w:type="spellEnd"/>
      <w:r>
        <w:rPr>
          <w:rFonts w:ascii="Times New Roman" w:hAnsi="Times New Roman" w:cs="Times New Roman"/>
          <w:b/>
          <w:sz w:val="28"/>
        </w:rPr>
        <w:t>:</w:t>
      </w:r>
    </w:p>
    <w:p w:rsidR="00D0719D" w:rsidRDefault="00D0719D" w:rsidP="00D0719D">
      <w:pPr>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8. Бизнес разведка. Внедрение передовых технологий: пер. с англ./Кристофер </w:t>
      </w:r>
      <w:proofErr w:type="spellStart"/>
      <w:r>
        <w:rPr>
          <w:rFonts w:ascii="Times New Roman" w:hAnsi="Times New Roman" w:cs="Times New Roman"/>
          <w:sz w:val="28"/>
          <w:szCs w:val="28"/>
          <w:lang w:eastAsia="en-US"/>
        </w:rPr>
        <w:t>Боган</w:t>
      </w:r>
      <w:proofErr w:type="spellEnd"/>
      <w:r>
        <w:rPr>
          <w:rFonts w:ascii="Times New Roman" w:hAnsi="Times New Roman" w:cs="Times New Roman"/>
          <w:sz w:val="28"/>
          <w:szCs w:val="28"/>
          <w:lang w:eastAsia="en-US"/>
        </w:rPr>
        <w:t xml:space="preserve">, Майкл Инглиш: Под общей ред. </w:t>
      </w:r>
      <w:proofErr w:type="spellStart"/>
      <w:r>
        <w:rPr>
          <w:rFonts w:ascii="Times New Roman" w:hAnsi="Times New Roman" w:cs="Times New Roman"/>
          <w:sz w:val="28"/>
          <w:szCs w:val="28"/>
          <w:lang w:eastAsia="en-US"/>
        </w:rPr>
        <w:t>Б.Л.Резниченко</w:t>
      </w:r>
      <w:proofErr w:type="spellEnd"/>
      <w:r>
        <w:rPr>
          <w:rFonts w:ascii="Times New Roman" w:hAnsi="Times New Roman" w:cs="Times New Roman"/>
          <w:sz w:val="28"/>
          <w:szCs w:val="28"/>
          <w:lang w:eastAsia="en-US"/>
        </w:rPr>
        <w:t xml:space="preserve">. – М.: Вершина, 2006. </w:t>
      </w:r>
    </w:p>
    <w:p w:rsidR="00D0719D" w:rsidRDefault="00D0719D" w:rsidP="00D0719D">
      <w:pPr>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9. Гаврюшина Е.И., </w:t>
      </w:r>
      <w:proofErr w:type="spellStart"/>
      <w:r>
        <w:rPr>
          <w:rFonts w:ascii="Times New Roman" w:hAnsi="Times New Roman" w:cs="Times New Roman"/>
          <w:sz w:val="28"/>
          <w:szCs w:val="28"/>
          <w:lang w:eastAsia="en-US"/>
        </w:rPr>
        <w:t>Линдера</w:t>
      </w:r>
      <w:proofErr w:type="spellEnd"/>
      <w:r>
        <w:rPr>
          <w:rFonts w:ascii="Times New Roman" w:hAnsi="Times New Roman" w:cs="Times New Roman"/>
          <w:sz w:val="28"/>
          <w:szCs w:val="28"/>
          <w:lang w:eastAsia="en-US"/>
        </w:rPr>
        <w:t xml:space="preserve"> И.Б. Практическая аналитика в службах безопасности. </w:t>
      </w:r>
      <w:proofErr w:type="gramStart"/>
      <w:r>
        <w:rPr>
          <w:rFonts w:ascii="Times New Roman" w:hAnsi="Times New Roman" w:cs="Times New Roman"/>
          <w:sz w:val="28"/>
          <w:szCs w:val="28"/>
          <w:lang w:eastAsia="en-US"/>
        </w:rPr>
        <w:t>Хрестоматия.:</w:t>
      </w:r>
      <w:proofErr w:type="gramEnd"/>
      <w:r>
        <w:rPr>
          <w:rFonts w:ascii="Times New Roman" w:hAnsi="Times New Roman" w:cs="Times New Roman"/>
          <w:sz w:val="28"/>
          <w:szCs w:val="28"/>
          <w:lang w:eastAsia="en-US"/>
        </w:rPr>
        <w:t xml:space="preserve"> М., 2006. </w:t>
      </w:r>
    </w:p>
    <w:p w:rsidR="00D0719D" w:rsidRDefault="00D0719D" w:rsidP="00D0719D">
      <w:pPr>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10. </w:t>
      </w:r>
      <w:proofErr w:type="spellStart"/>
      <w:r>
        <w:rPr>
          <w:rFonts w:ascii="Times New Roman" w:hAnsi="Times New Roman" w:cs="Times New Roman"/>
          <w:sz w:val="28"/>
          <w:szCs w:val="28"/>
          <w:lang w:eastAsia="en-US"/>
        </w:rPr>
        <w:t>Грунин</w:t>
      </w:r>
      <w:proofErr w:type="spellEnd"/>
      <w:r>
        <w:rPr>
          <w:rFonts w:ascii="Times New Roman" w:hAnsi="Times New Roman" w:cs="Times New Roman"/>
          <w:sz w:val="28"/>
          <w:szCs w:val="28"/>
          <w:lang w:eastAsia="en-US"/>
        </w:rPr>
        <w:t xml:space="preserve"> О.А., </w:t>
      </w:r>
      <w:proofErr w:type="spellStart"/>
      <w:r>
        <w:rPr>
          <w:rFonts w:ascii="Times New Roman" w:hAnsi="Times New Roman" w:cs="Times New Roman"/>
          <w:sz w:val="28"/>
          <w:szCs w:val="28"/>
          <w:lang w:eastAsia="en-US"/>
        </w:rPr>
        <w:t>Грунин</w:t>
      </w:r>
      <w:proofErr w:type="spellEnd"/>
      <w:r>
        <w:rPr>
          <w:rFonts w:ascii="Times New Roman" w:hAnsi="Times New Roman" w:cs="Times New Roman"/>
          <w:sz w:val="28"/>
          <w:szCs w:val="28"/>
          <w:lang w:eastAsia="en-US"/>
        </w:rPr>
        <w:t xml:space="preserve"> С.О. Экономическая безопасность организации. - </w:t>
      </w:r>
      <w:proofErr w:type="gramStart"/>
      <w:r>
        <w:rPr>
          <w:rFonts w:ascii="Times New Roman" w:hAnsi="Times New Roman" w:cs="Times New Roman"/>
          <w:sz w:val="28"/>
          <w:szCs w:val="28"/>
          <w:lang w:eastAsia="en-US"/>
        </w:rPr>
        <w:t>СПб.,</w:t>
      </w:r>
      <w:proofErr w:type="gramEnd"/>
      <w:r>
        <w:rPr>
          <w:rFonts w:ascii="Times New Roman" w:hAnsi="Times New Roman" w:cs="Times New Roman"/>
          <w:sz w:val="28"/>
          <w:szCs w:val="28"/>
          <w:lang w:eastAsia="en-US"/>
        </w:rPr>
        <w:t xml:space="preserve"> Питер, 2002. </w:t>
      </w:r>
    </w:p>
    <w:p w:rsidR="00D0719D" w:rsidRDefault="00D0719D" w:rsidP="00D0719D">
      <w:pPr>
        <w:ind w:firstLine="709"/>
        <w:jc w:val="both"/>
        <w:rPr>
          <w:rFonts w:ascii="Times New Roman" w:hAnsi="Times New Roman" w:cs="Times New Roman"/>
          <w:sz w:val="28"/>
          <w:szCs w:val="28"/>
        </w:rPr>
      </w:pPr>
      <w:r>
        <w:rPr>
          <w:rFonts w:ascii="Times New Roman" w:hAnsi="Times New Roman" w:cs="Times New Roman"/>
          <w:sz w:val="28"/>
          <w:szCs w:val="28"/>
          <w:lang w:val="uk-UA" w:eastAsia="en-US"/>
        </w:rPr>
        <w:t>11</w:t>
      </w:r>
      <w:r>
        <w:rPr>
          <w:rFonts w:ascii="Times New Roman" w:hAnsi="Times New Roman" w:cs="Times New Roman"/>
          <w:sz w:val="28"/>
          <w:szCs w:val="28"/>
          <w:lang w:eastAsia="en-US"/>
        </w:rPr>
        <w:t xml:space="preserve">. Демидов Б., Величко А., </w:t>
      </w:r>
      <w:proofErr w:type="spellStart"/>
      <w:r>
        <w:rPr>
          <w:rFonts w:ascii="Times New Roman" w:hAnsi="Times New Roman" w:cs="Times New Roman"/>
          <w:sz w:val="28"/>
          <w:szCs w:val="28"/>
          <w:lang w:eastAsia="en-US"/>
        </w:rPr>
        <w:t>Волощук</w:t>
      </w:r>
      <w:proofErr w:type="spellEnd"/>
      <w:r>
        <w:rPr>
          <w:rFonts w:ascii="Times New Roman" w:hAnsi="Times New Roman" w:cs="Times New Roman"/>
          <w:sz w:val="28"/>
          <w:szCs w:val="28"/>
          <w:lang w:eastAsia="en-US"/>
        </w:rPr>
        <w:t xml:space="preserve"> И. Тайный фронт // </w:t>
      </w:r>
      <w:proofErr w:type="spellStart"/>
      <w:r>
        <w:rPr>
          <w:rFonts w:ascii="Times New Roman" w:hAnsi="Times New Roman" w:cs="Times New Roman"/>
          <w:sz w:val="28"/>
          <w:szCs w:val="28"/>
          <w:lang w:eastAsia="en-US"/>
        </w:rPr>
        <w:t>Національна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безпека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України</w:t>
      </w:r>
      <w:proofErr w:type="spellEnd"/>
      <w:r>
        <w:rPr>
          <w:rFonts w:ascii="Times New Roman" w:hAnsi="Times New Roman" w:cs="Times New Roman"/>
          <w:sz w:val="28"/>
          <w:szCs w:val="28"/>
          <w:lang w:eastAsia="en-US"/>
        </w:rPr>
        <w:t xml:space="preserve">. - № 7-8, 2005. - с. 17-23. </w:t>
      </w:r>
    </w:p>
    <w:p w:rsidR="00D0719D" w:rsidRDefault="00D0719D" w:rsidP="00D0719D">
      <w:pPr>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12. Кузнецов И.Н. Учебник по информационно-аналитической работе. - М.: Яуза, 2001. </w:t>
      </w:r>
    </w:p>
    <w:p w:rsidR="00D0719D" w:rsidRDefault="00D0719D" w:rsidP="00D0719D">
      <w:pPr>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13. </w:t>
      </w:r>
      <w:proofErr w:type="spellStart"/>
      <w:r>
        <w:rPr>
          <w:rFonts w:ascii="Times New Roman" w:hAnsi="Times New Roman" w:cs="Times New Roman"/>
          <w:sz w:val="28"/>
          <w:szCs w:val="28"/>
          <w:lang w:eastAsia="en-US"/>
        </w:rPr>
        <w:t>Легкобытов</w:t>
      </w:r>
      <w:proofErr w:type="spellEnd"/>
      <w:r>
        <w:rPr>
          <w:rFonts w:ascii="Times New Roman" w:hAnsi="Times New Roman" w:cs="Times New Roman"/>
          <w:sz w:val="28"/>
          <w:szCs w:val="28"/>
          <w:lang w:eastAsia="en-US"/>
        </w:rPr>
        <w:t xml:space="preserve"> А.В. Энциклопедия безопасности. Обеспечение безопасности предприятий. - </w:t>
      </w:r>
      <w:proofErr w:type="spellStart"/>
      <w:proofErr w:type="gramStart"/>
      <w:r>
        <w:rPr>
          <w:rFonts w:ascii="Times New Roman" w:hAnsi="Times New Roman" w:cs="Times New Roman"/>
          <w:sz w:val="28"/>
          <w:szCs w:val="28"/>
          <w:lang w:eastAsia="en-US"/>
        </w:rPr>
        <w:t>СпБ</w:t>
      </w:r>
      <w:proofErr w:type="spellEnd"/>
      <w:r>
        <w:rPr>
          <w:rFonts w:ascii="Times New Roman" w:hAnsi="Times New Roman" w:cs="Times New Roman"/>
          <w:sz w:val="28"/>
          <w:szCs w:val="28"/>
          <w:lang w:eastAsia="en-US"/>
        </w:rPr>
        <w:t>.:</w:t>
      </w:r>
      <w:proofErr w:type="gramEnd"/>
      <w:r>
        <w:rPr>
          <w:rFonts w:ascii="Times New Roman" w:hAnsi="Times New Roman" w:cs="Times New Roman"/>
          <w:sz w:val="28"/>
          <w:szCs w:val="28"/>
          <w:lang w:eastAsia="en-US"/>
        </w:rPr>
        <w:t xml:space="preserve"> «Летний сад», 2001. </w:t>
      </w:r>
    </w:p>
    <w:p w:rsidR="00D0719D" w:rsidRDefault="00D0719D" w:rsidP="00D0719D">
      <w:pPr>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14. </w:t>
      </w:r>
      <w:proofErr w:type="spellStart"/>
      <w:r>
        <w:rPr>
          <w:rFonts w:ascii="Times New Roman" w:hAnsi="Times New Roman" w:cs="Times New Roman"/>
          <w:sz w:val="28"/>
          <w:szCs w:val="28"/>
          <w:lang w:eastAsia="en-US"/>
        </w:rPr>
        <w:t>Найт</w:t>
      </w:r>
      <w:proofErr w:type="spellEnd"/>
      <w:r>
        <w:rPr>
          <w:rFonts w:ascii="Times New Roman" w:hAnsi="Times New Roman" w:cs="Times New Roman"/>
          <w:sz w:val="28"/>
          <w:szCs w:val="28"/>
          <w:lang w:eastAsia="en-US"/>
        </w:rPr>
        <w:t xml:space="preserve"> Ф. Х. Риск, неопределенность и прибыль / Пер. с англ. – М.: Дело, 2003. – 360 с. </w:t>
      </w:r>
    </w:p>
    <w:p w:rsidR="00D0719D" w:rsidRDefault="00D0719D" w:rsidP="00D0719D">
      <w:pPr>
        <w:ind w:firstLine="709"/>
        <w:jc w:val="both"/>
        <w:rPr>
          <w:rFonts w:ascii="Times New Roman" w:hAnsi="Times New Roman" w:cs="Times New Roman"/>
          <w:sz w:val="28"/>
          <w:szCs w:val="28"/>
        </w:rPr>
      </w:pPr>
      <w:r>
        <w:rPr>
          <w:rFonts w:ascii="Times New Roman" w:hAnsi="Times New Roman" w:cs="Times New Roman"/>
          <w:sz w:val="28"/>
          <w:szCs w:val="28"/>
          <w:lang w:eastAsia="en-US"/>
        </w:rPr>
        <w:lastRenderedPageBreak/>
        <w:t xml:space="preserve">15. Ткачук Т.Ю. </w:t>
      </w:r>
      <w:proofErr w:type="spellStart"/>
      <w:r>
        <w:rPr>
          <w:rFonts w:ascii="Times New Roman" w:hAnsi="Times New Roman" w:cs="Times New Roman"/>
          <w:sz w:val="28"/>
          <w:szCs w:val="28"/>
          <w:lang w:eastAsia="en-US"/>
        </w:rPr>
        <w:t>Бенчмаркинг</w:t>
      </w:r>
      <w:proofErr w:type="spellEnd"/>
      <w:r>
        <w:rPr>
          <w:rFonts w:ascii="Times New Roman" w:hAnsi="Times New Roman" w:cs="Times New Roman"/>
          <w:sz w:val="28"/>
          <w:szCs w:val="28"/>
          <w:lang w:eastAsia="en-US"/>
        </w:rPr>
        <w:t xml:space="preserve"> як </w:t>
      </w:r>
      <w:proofErr w:type="spellStart"/>
      <w:r>
        <w:rPr>
          <w:rFonts w:ascii="Times New Roman" w:hAnsi="Times New Roman" w:cs="Times New Roman"/>
          <w:sz w:val="28"/>
          <w:szCs w:val="28"/>
          <w:lang w:eastAsia="en-US"/>
        </w:rPr>
        <w:t>складова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успішної</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бізнес-стратегії</w:t>
      </w:r>
      <w:proofErr w:type="spellEnd"/>
      <w:r>
        <w:rPr>
          <w:rFonts w:ascii="Times New Roman" w:hAnsi="Times New Roman" w:cs="Times New Roman"/>
          <w:sz w:val="28"/>
          <w:szCs w:val="28"/>
          <w:lang w:eastAsia="en-US"/>
        </w:rPr>
        <w:t xml:space="preserve"> // Бизнес и безопасность - 2007. - № 1. - С. 35-37. </w:t>
      </w:r>
    </w:p>
    <w:p w:rsidR="00D0719D" w:rsidRDefault="00D0719D" w:rsidP="00D0719D">
      <w:pPr>
        <w:ind w:firstLine="709"/>
        <w:jc w:val="both"/>
        <w:rPr>
          <w:rFonts w:ascii="Times New Roman" w:hAnsi="Times New Roman" w:cs="Times New Roman"/>
          <w:sz w:val="28"/>
          <w:szCs w:val="28"/>
        </w:rPr>
      </w:pPr>
      <w:r>
        <w:rPr>
          <w:rFonts w:ascii="Times New Roman" w:hAnsi="Times New Roman" w:cs="Times New Roman"/>
          <w:sz w:val="28"/>
          <w:szCs w:val="28"/>
          <w:lang w:val="uk-UA" w:eastAsia="en-US"/>
        </w:rPr>
        <w:t>16</w:t>
      </w:r>
      <w:r>
        <w:rPr>
          <w:rFonts w:ascii="Times New Roman" w:hAnsi="Times New Roman" w:cs="Times New Roman"/>
          <w:sz w:val="28"/>
          <w:szCs w:val="28"/>
          <w:lang w:eastAsia="en-US"/>
        </w:rPr>
        <w:t xml:space="preserve">. Ткачук Т.Ю. </w:t>
      </w:r>
      <w:proofErr w:type="spellStart"/>
      <w:r>
        <w:rPr>
          <w:rFonts w:ascii="Times New Roman" w:hAnsi="Times New Roman" w:cs="Times New Roman"/>
          <w:sz w:val="28"/>
          <w:szCs w:val="28"/>
          <w:lang w:eastAsia="en-US"/>
        </w:rPr>
        <w:t>Конфіденційне</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діловодство</w:t>
      </w:r>
      <w:proofErr w:type="spellEnd"/>
      <w:r>
        <w:rPr>
          <w:rFonts w:ascii="Times New Roman" w:hAnsi="Times New Roman" w:cs="Times New Roman"/>
          <w:sz w:val="28"/>
          <w:szCs w:val="28"/>
          <w:lang w:eastAsia="en-US"/>
        </w:rPr>
        <w:t xml:space="preserve"> - </w:t>
      </w:r>
      <w:proofErr w:type="spellStart"/>
      <w:r>
        <w:rPr>
          <w:rFonts w:ascii="Times New Roman" w:hAnsi="Times New Roman" w:cs="Times New Roman"/>
          <w:sz w:val="28"/>
          <w:szCs w:val="28"/>
          <w:lang w:eastAsia="en-US"/>
        </w:rPr>
        <w:t>важлива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складова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захисту</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конфіденційної</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інформації</w:t>
      </w:r>
      <w:proofErr w:type="spellEnd"/>
      <w:r>
        <w:rPr>
          <w:rFonts w:ascii="Times New Roman" w:hAnsi="Times New Roman" w:cs="Times New Roman"/>
          <w:sz w:val="28"/>
          <w:szCs w:val="28"/>
          <w:lang w:eastAsia="en-US"/>
        </w:rPr>
        <w:t xml:space="preserve"> на </w:t>
      </w:r>
      <w:proofErr w:type="spellStart"/>
      <w:r>
        <w:rPr>
          <w:rFonts w:ascii="Times New Roman" w:hAnsi="Times New Roman" w:cs="Times New Roman"/>
          <w:sz w:val="28"/>
          <w:szCs w:val="28"/>
          <w:lang w:eastAsia="en-US"/>
        </w:rPr>
        <w:t>підприємстві</w:t>
      </w:r>
      <w:proofErr w:type="spellEnd"/>
      <w:r>
        <w:rPr>
          <w:rFonts w:ascii="Times New Roman" w:hAnsi="Times New Roman" w:cs="Times New Roman"/>
          <w:sz w:val="28"/>
          <w:szCs w:val="28"/>
          <w:lang w:eastAsia="en-US"/>
        </w:rPr>
        <w:t xml:space="preserve"> // Бизнес и безопасность - 2007. - № 1. - С. 85-89. </w:t>
      </w:r>
    </w:p>
    <w:p w:rsidR="008E3A6C" w:rsidRDefault="00D0719D" w:rsidP="00F7136A">
      <w:pPr>
        <w:ind w:firstLine="709"/>
        <w:jc w:val="both"/>
      </w:pPr>
      <w:r>
        <w:rPr>
          <w:rFonts w:ascii="Times New Roman" w:hAnsi="Times New Roman" w:cs="Times New Roman"/>
          <w:sz w:val="28"/>
          <w:szCs w:val="28"/>
          <w:lang w:eastAsia="en-US"/>
        </w:rPr>
        <w:t xml:space="preserve">17. Ткачук Т.Ю. Шляхи </w:t>
      </w:r>
      <w:proofErr w:type="spellStart"/>
      <w:r>
        <w:rPr>
          <w:rFonts w:ascii="Times New Roman" w:hAnsi="Times New Roman" w:cs="Times New Roman"/>
          <w:sz w:val="28"/>
          <w:szCs w:val="28"/>
          <w:lang w:eastAsia="en-US"/>
        </w:rPr>
        <w:t>запобіганню</w:t>
      </w:r>
      <w:proofErr w:type="spellEnd"/>
      <w:r>
        <w:rPr>
          <w:rFonts w:ascii="Times New Roman" w:hAnsi="Times New Roman" w:cs="Times New Roman"/>
          <w:sz w:val="28"/>
          <w:szCs w:val="28"/>
          <w:lang w:eastAsia="en-US"/>
        </w:rPr>
        <w:t xml:space="preserve"> та </w:t>
      </w:r>
      <w:proofErr w:type="spellStart"/>
      <w:r>
        <w:rPr>
          <w:rFonts w:ascii="Times New Roman" w:hAnsi="Times New Roman" w:cs="Times New Roman"/>
          <w:sz w:val="28"/>
          <w:szCs w:val="28"/>
          <w:lang w:eastAsia="en-US"/>
        </w:rPr>
        <w:t>протидії</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промисловому</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шпигунству</w:t>
      </w:r>
      <w:proofErr w:type="spellEnd"/>
      <w:r>
        <w:rPr>
          <w:rFonts w:ascii="Times New Roman" w:hAnsi="Times New Roman" w:cs="Times New Roman"/>
          <w:sz w:val="28"/>
          <w:szCs w:val="28"/>
          <w:lang w:eastAsia="en-US"/>
        </w:rPr>
        <w:t xml:space="preserve"> // Бизнес и безопасность - 2007. - № 3. - С. 7-10. </w:t>
      </w:r>
    </w:p>
    <w:sectPr w:rsidR="008E3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A37CD"/>
    <w:multiLevelType w:val="hybridMultilevel"/>
    <w:tmpl w:val="FCF61B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B657254"/>
    <w:multiLevelType w:val="hybridMultilevel"/>
    <w:tmpl w:val="D4A8C2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E107AB6"/>
    <w:multiLevelType w:val="hybridMultilevel"/>
    <w:tmpl w:val="7F4C27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07F66CC"/>
    <w:multiLevelType w:val="hybridMultilevel"/>
    <w:tmpl w:val="D25EEB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AF25047"/>
    <w:multiLevelType w:val="hybridMultilevel"/>
    <w:tmpl w:val="272E83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4932C4E"/>
    <w:multiLevelType w:val="hybridMultilevel"/>
    <w:tmpl w:val="16B0A6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14B1352"/>
    <w:multiLevelType w:val="hybridMultilevel"/>
    <w:tmpl w:val="3D988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A0"/>
    <w:rsid w:val="00035FD4"/>
    <w:rsid w:val="00082EA0"/>
    <w:rsid w:val="00135FF7"/>
    <w:rsid w:val="00156AC9"/>
    <w:rsid w:val="001A34DA"/>
    <w:rsid w:val="006C4697"/>
    <w:rsid w:val="008D1EFE"/>
    <w:rsid w:val="008E3A6C"/>
    <w:rsid w:val="00C1303B"/>
    <w:rsid w:val="00D0719D"/>
    <w:rsid w:val="00D21AC2"/>
    <w:rsid w:val="00E02FA0"/>
    <w:rsid w:val="00F71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00C5E-E206-4315-A552-443FCF25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1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6">
    <w:name w:val="heading 6"/>
    <w:basedOn w:val="a"/>
    <w:next w:val="a"/>
    <w:link w:val="60"/>
    <w:uiPriority w:val="9"/>
    <w:unhideWhenUsed/>
    <w:qFormat/>
    <w:rsid w:val="00D0719D"/>
    <w:pPr>
      <w:spacing w:before="240" w:after="60"/>
      <w:outlineLvl w:val="5"/>
    </w:pPr>
    <w:rPr>
      <w:rFonts w:ascii="Calibri" w:hAnsi="Calibri"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D0719D"/>
    <w:rPr>
      <w:rFonts w:ascii="Calibri" w:eastAsia="Times New Roman" w:hAnsi="Calibri" w:cs="Times New Roman"/>
      <w:b/>
      <w:bCs/>
      <w:lang w:eastAsia="ru-RU"/>
    </w:rPr>
  </w:style>
  <w:style w:type="character" w:customStyle="1" w:styleId="FontStyle11">
    <w:name w:val="Font Style11"/>
    <w:uiPriority w:val="99"/>
    <w:rsid w:val="00D0719D"/>
    <w:rPr>
      <w:rFonts w:ascii="Times New Roman" w:hAnsi="Times New Roman" w:cs="Times New Roman" w:hint="default"/>
      <w:sz w:val="22"/>
      <w:szCs w:val="22"/>
    </w:rPr>
  </w:style>
  <w:style w:type="paragraph" w:customStyle="1" w:styleId="a3">
    <w:name w:val="Титульный лист"/>
    <w:rsid w:val="00135FF7"/>
    <w:pPr>
      <w:spacing w:after="0" w:line="360" w:lineRule="auto"/>
      <w:ind w:left="40"/>
      <w:jc w:val="center"/>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84309">
      <w:bodyDiv w:val="1"/>
      <w:marLeft w:val="0"/>
      <w:marRight w:val="0"/>
      <w:marTop w:val="0"/>
      <w:marBottom w:val="0"/>
      <w:divBdr>
        <w:top w:val="none" w:sz="0" w:space="0" w:color="auto"/>
        <w:left w:val="none" w:sz="0" w:space="0" w:color="auto"/>
        <w:bottom w:val="none" w:sz="0" w:space="0" w:color="auto"/>
        <w:right w:val="none" w:sz="0" w:space="0" w:color="auto"/>
      </w:divBdr>
    </w:div>
    <w:div w:id="356397642">
      <w:bodyDiv w:val="1"/>
      <w:marLeft w:val="0"/>
      <w:marRight w:val="0"/>
      <w:marTop w:val="0"/>
      <w:marBottom w:val="0"/>
      <w:divBdr>
        <w:top w:val="none" w:sz="0" w:space="0" w:color="auto"/>
        <w:left w:val="none" w:sz="0" w:space="0" w:color="auto"/>
        <w:bottom w:val="none" w:sz="0" w:space="0" w:color="auto"/>
        <w:right w:val="none" w:sz="0" w:space="0" w:color="auto"/>
      </w:divBdr>
    </w:div>
    <w:div w:id="475925337">
      <w:bodyDiv w:val="1"/>
      <w:marLeft w:val="0"/>
      <w:marRight w:val="0"/>
      <w:marTop w:val="0"/>
      <w:marBottom w:val="0"/>
      <w:divBdr>
        <w:top w:val="none" w:sz="0" w:space="0" w:color="auto"/>
        <w:left w:val="none" w:sz="0" w:space="0" w:color="auto"/>
        <w:bottom w:val="none" w:sz="0" w:space="0" w:color="auto"/>
        <w:right w:val="none" w:sz="0" w:space="0" w:color="auto"/>
      </w:divBdr>
    </w:div>
    <w:div w:id="561673910">
      <w:bodyDiv w:val="1"/>
      <w:marLeft w:val="0"/>
      <w:marRight w:val="0"/>
      <w:marTop w:val="0"/>
      <w:marBottom w:val="0"/>
      <w:divBdr>
        <w:top w:val="none" w:sz="0" w:space="0" w:color="auto"/>
        <w:left w:val="none" w:sz="0" w:space="0" w:color="auto"/>
        <w:bottom w:val="none" w:sz="0" w:space="0" w:color="auto"/>
        <w:right w:val="none" w:sz="0" w:space="0" w:color="auto"/>
      </w:divBdr>
    </w:div>
    <w:div w:id="934509126">
      <w:bodyDiv w:val="1"/>
      <w:marLeft w:val="0"/>
      <w:marRight w:val="0"/>
      <w:marTop w:val="0"/>
      <w:marBottom w:val="0"/>
      <w:divBdr>
        <w:top w:val="none" w:sz="0" w:space="0" w:color="auto"/>
        <w:left w:val="none" w:sz="0" w:space="0" w:color="auto"/>
        <w:bottom w:val="none" w:sz="0" w:space="0" w:color="auto"/>
        <w:right w:val="none" w:sz="0" w:space="0" w:color="auto"/>
      </w:divBdr>
    </w:div>
    <w:div w:id="989944686">
      <w:bodyDiv w:val="1"/>
      <w:marLeft w:val="0"/>
      <w:marRight w:val="0"/>
      <w:marTop w:val="0"/>
      <w:marBottom w:val="0"/>
      <w:divBdr>
        <w:top w:val="none" w:sz="0" w:space="0" w:color="auto"/>
        <w:left w:val="none" w:sz="0" w:space="0" w:color="auto"/>
        <w:bottom w:val="none" w:sz="0" w:space="0" w:color="auto"/>
        <w:right w:val="none" w:sz="0" w:space="0" w:color="auto"/>
      </w:divBdr>
    </w:div>
    <w:div w:id="1060177228">
      <w:bodyDiv w:val="1"/>
      <w:marLeft w:val="0"/>
      <w:marRight w:val="0"/>
      <w:marTop w:val="0"/>
      <w:marBottom w:val="0"/>
      <w:divBdr>
        <w:top w:val="none" w:sz="0" w:space="0" w:color="auto"/>
        <w:left w:val="none" w:sz="0" w:space="0" w:color="auto"/>
        <w:bottom w:val="none" w:sz="0" w:space="0" w:color="auto"/>
        <w:right w:val="none" w:sz="0" w:space="0" w:color="auto"/>
      </w:divBdr>
    </w:div>
    <w:div w:id="1326392783">
      <w:bodyDiv w:val="1"/>
      <w:marLeft w:val="0"/>
      <w:marRight w:val="0"/>
      <w:marTop w:val="0"/>
      <w:marBottom w:val="0"/>
      <w:divBdr>
        <w:top w:val="none" w:sz="0" w:space="0" w:color="auto"/>
        <w:left w:val="none" w:sz="0" w:space="0" w:color="auto"/>
        <w:bottom w:val="none" w:sz="0" w:space="0" w:color="auto"/>
        <w:right w:val="none" w:sz="0" w:space="0" w:color="auto"/>
      </w:divBdr>
    </w:div>
    <w:div w:id="1598364943">
      <w:bodyDiv w:val="1"/>
      <w:marLeft w:val="0"/>
      <w:marRight w:val="0"/>
      <w:marTop w:val="0"/>
      <w:marBottom w:val="0"/>
      <w:divBdr>
        <w:top w:val="none" w:sz="0" w:space="0" w:color="auto"/>
        <w:left w:val="none" w:sz="0" w:space="0" w:color="auto"/>
        <w:bottom w:val="none" w:sz="0" w:space="0" w:color="auto"/>
        <w:right w:val="none" w:sz="0" w:space="0" w:color="auto"/>
      </w:divBdr>
    </w:div>
    <w:div w:id="1673996129">
      <w:bodyDiv w:val="1"/>
      <w:marLeft w:val="0"/>
      <w:marRight w:val="0"/>
      <w:marTop w:val="0"/>
      <w:marBottom w:val="0"/>
      <w:divBdr>
        <w:top w:val="none" w:sz="0" w:space="0" w:color="auto"/>
        <w:left w:val="none" w:sz="0" w:space="0" w:color="auto"/>
        <w:bottom w:val="none" w:sz="0" w:space="0" w:color="auto"/>
        <w:right w:val="none" w:sz="0" w:space="0" w:color="auto"/>
      </w:divBdr>
    </w:div>
    <w:div w:id="2087067362">
      <w:bodyDiv w:val="1"/>
      <w:marLeft w:val="0"/>
      <w:marRight w:val="0"/>
      <w:marTop w:val="0"/>
      <w:marBottom w:val="0"/>
      <w:divBdr>
        <w:top w:val="none" w:sz="0" w:space="0" w:color="auto"/>
        <w:left w:val="none" w:sz="0" w:space="0" w:color="auto"/>
        <w:bottom w:val="none" w:sz="0" w:space="0" w:color="auto"/>
        <w:right w:val="none" w:sz="0" w:space="0" w:color="auto"/>
      </w:divBdr>
    </w:div>
    <w:div w:id="211500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1397</Words>
  <Characters>7966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2021-09-26T17:49:00Z</dcterms:created>
  <dcterms:modified xsi:type="dcterms:W3CDTF">2021-09-26T17:52:00Z</dcterms:modified>
</cp:coreProperties>
</file>