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727" w:rsidRPr="007016BD" w:rsidRDefault="001B1727" w:rsidP="001B1727">
      <w:pPr>
        <w:spacing w:after="0" w:line="360" w:lineRule="auto"/>
        <w:ind w:right="72" w:firstLine="709"/>
        <w:jc w:val="center"/>
        <w:rPr>
          <w:b/>
          <w:szCs w:val="28"/>
          <w:lang w:val="uk-UA"/>
        </w:rPr>
      </w:pPr>
      <w:r w:rsidRPr="007016BD">
        <w:rPr>
          <w:b/>
          <w:szCs w:val="28"/>
          <w:lang w:val="uk-UA"/>
        </w:rPr>
        <w:t>Практичне заняття 5.</w:t>
      </w:r>
    </w:p>
    <w:p w:rsidR="001B1727" w:rsidRPr="007016BD" w:rsidRDefault="001B1727" w:rsidP="001B1727">
      <w:pPr>
        <w:spacing w:after="0" w:line="360" w:lineRule="auto"/>
        <w:ind w:right="72" w:firstLine="709"/>
        <w:jc w:val="center"/>
        <w:rPr>
          <w:b/>
          <w:szCs w:val="28"/>
          <w:lang w:val="uk-UA"/>
        </w:rPr>
      </w:pPr>
      <w:r w:rsidRPr="007016BD">
        <w:rPr>
          <w:b/>
          <w:szCs w:val="28"/>
          <w:lang w:val="uk-UA"/>
        </w:rPr>
        <w:t>Побудова концепції проекту індивідуальність вибраного напряму.</w:t>
      </w:r>
    </w:p>
    <w:p w:rsidR="001B1727" w:rsidRPr="007016BD" w:rsidRDefault="001B1727" w:rsidP="001B1727">
      <w:pPr>
        <w:spacing w:after="0" w:line="360" w:lineRule="auto"/>
        <w:ind w:right="72" w:firstLine="709"/>
        <w:rPr>
          <w:b/>
          <w:szCs w:val="28"/>
          <w:lang w:val="uk-UA"/>
        </w:rPr>
      </w:pPr>
      <w:r w:rsidRPr="007016BD">
        <w:rPr>
          <w:b/>
          <w:szCs w:val="28"/>
          <w:lang w:val="uk-UA"/>
        </w:rPr>
        <w:t>Мета заняття:</w:t>
      </w:r>
      <w:r w:rsidRPr="007016BD">
        <w:rPr>
          <w:szCs w:val="28"/>
          <w:lang w:val="uk-UA"/>
        </w:rPr>
        <w:t xml:space="preserve"> набуття навичок побудови концепції проекту індивідуальність вибраного напряму та оцінки ефективності довгострокових маркетингових рішень.</w:t>
      </w:r>
      <w:r w:rsidRPr="007016BD">
        <w:rPr>
          <w:b/>
          <w:szCs w:val="28"/>
          <w:lang w:val="uk-UA"/>
        </w:rPr>
        <w:t xml:space="preserve"> </w:t>
      </w:r>
    </w:p>
    <w:p w:rsidR="001B1727" w:rsidRPr="007016BD" w:rsidRDefault="001B1727" w:rsidP="001B1727">
      <w:pPr>
        <w:spacing w:after="0" w:line="360" w:lineRule="auto"/>
        <w:ind w:left="11" w:right="74" w:firstLine="709"/>
        <w:rPr>
          <w:b/>
          <w:szCs w:val="28"/>
          <w:lang w:val="uk-UA"/>
        </w:rPr>
      </w:pPr>
      <w:r w:rsidRPr="007016BD">
        <w:rPr>
          <w:b/>
          <w:szCs w:val="28"/>
          <w:lang w:val="uk-UA"/>
        </w:rPr>
        <w:t>Набування студентами компетенцій</w:t>
      </w:r>
      <w:r w:rsidRPr="007016BD">
        <w:rPr>
          <w:szCs w:val="28"/>
          <w:lang w:val="uk-UA"/>
        </w:rPr>
        <w:t xml:space="preserve">: </w:t>
      </w:r>
      <w:r w:rsidRPr="007016BD">
        <w:rPr>
          <w:b/>
          <w:szCs w:val="28"/>
          <w:lang w:val="uk-UA"/>
        </w:rPr>
        <w:t xml:space="preserve">СК14. </w:t>
      </w:r>
      <w:r w:rsidRPr="007016BD">
        <w:rPr>
          <w:szCs w:val="28"/>
          <w:lang w:val="uk-UA"/>
        </w:rPr>
        <w:t>Здатність пропонувати вдосконалення щодо функцій маркетингової діяльності.</w:t>
      </w:r>
    </w:p>
    <w:p w:rsidR="001B1727" w:rsidRPr="007016BD" w:rsidRDefault="001B1727" w:rsidP="001B1727">
      <w:pPr>
        <w:spacing w:after="0" w:line="360" w:lineRule="auto"/>
        <w:ind w:left="11" w:right="74" w:firstLine="709"/>
        <w:rPr>
          <w:szCs w:val="28"/>
          <w:lang w:val="uk-UA"/>
        </w:rPr>
      </w:pPr>
    </w:p>
    <w:p w:rsidR="001B1727" w:rsidRPr="007016BD" w:rsidRDefault="001B1727" w:rsidP="001B1727">
      <w:pPr>
        <w:spacing w:after="0" w:line="360" w:lineRule="auto"/>
        <w:ind w:right="72" w:firstLine="709"/>
        <w:rPr>
          <w:szCs w:val="28"/>
          <w:lang w:val="uk-UA"/>
        </w:rPr>
      </w:pPr>
      <w:r w:rsidRPr="007016BD">
        <w:rPr>
          <w:szCs w:val="28"/>
          <w:lang w:val="uk-UA"/>
        </w:rPr>
        <w:t>Побудова концепції проекту вибраного маркетингового напряму звичай спрямовано на фокусуванні уваги на цільовому ринку та запитах споживачів має велике значення для підготовки концепції маркетингової аналітики починають її підготовку з оцінки взаємозв’язків між типами проектних продуктів та групами споживачів.</w:t>
      </w:r>
    </w:p>
    <w:p w:rsidR="001B1727" w:rsidRPr="007016BD" w:rsidRDefault="001B1727" w:rsidP="001B1727">
      <w:pPr>
        <w:spacing w:after="0" w:line="360" w:lineRule="auto"/>
        <w:ind w:right="72" w:firstLine="709"/>
        <w:rPr>
          <w:szCs w:val="28"/>
          <w:lang w:val="uk-UA"/>
        </w:rPr>
      </w:pPr>
      <w:r w:rsidRPr="007016BD">
        <w:rPr>
          <w:szCs w:val="28"/>
          <w:lang w:val="uk-UA"/>
        </w:rPr>
        <w:t>Для кожної цільової групи споживачів визначаються:</w:t>
      </w:r>
    </w:p>
    <w:p w:rsidR="001B1727" w:rsidRPr="007016BD" w:rsidRDefault="001B1727" w:rsidP="001B1727">
      <w:pPr>
        <w:pStyle w:val="a4"/>
        <w:numPr>
          <w:ilvl w:val="0"/>
          <w:numId w:val="1"/>
        </w:numPr>
        <w:tabs>
          <w:tab w:val="left" w:pos="993"/>
        </w:tabs>
        <w:spacing w:after="0" w:line="360" w:lineRule="auto"/>
        <w:ind w:left="0" w:right="72" w:firstLine="688"/>
        <w:rPr>
          <w:szCs w:val="28"/>
          <w:lang w:val="uk-UA"/>
        </w:rPr>
      </w:pPr>
      <w:r w:rsidRPr="007016BD">
        <w:rPr>
          <w:szCs w:val="28"/>
          <w:lang w:val="uk-UA"/>
        </w:rPr>
        <w:t>структура ринку та його потенційна ємкість;</w:t>
      </w:r>
    </w:p>
    <w:p w:rsidR="001B1727" w:rsidRPr="007016BD" w:rsidRDefault="001B1727" w:rsidP="001B1727">
      <w:pPr>
        <w:pStyle w:val="a4"/>
        <w:numPr>
          <w:ilvl w:val="0"/>
          <w:numId w:val="1"/>
        </w:numPr>
        <w:tabs>
          <w:tab w:val="left" w:pos="993"/>
        </w:tabs>
        <w:spacing w:after="0" w:line="360" w:lineRule="auto"/>
        <w:ind w:left="0" w:right="72" w:firstLine="688"/>
        <w:rPr>
          <w:szCs w:val="28"/>
          <w:lang w:val="uk-UA"/>
        </w:rPr>
      </w:pPr>
      <w:r w:rsidRPr="007016BD">
        <w:rPr>
          <w:szCs w:val="28"/>
          <w:lang w:val="uk-UA"/>
        </w:rPr>
        <w:t>потреби споживачів і критерії ініціювання купівлі;</w:t>
      </w:r>
    </w:p>
    <w:p w:rsidR="001B1727" w:rsidRPr="007016BD" w:rsidRDefault="001B1727" w:rsidP="001B1727">
      <w:pPr>
        <w:pStyle w:val="a4"/>
        <w:numPr>
          <w:ilvl w:val="0"/>
          <w:numId w:val="1"/>
        </w:numPr>
        <w:tabs>
          <w:tab w:val="left" w:pos="993"/>
        </w:tabs>
        <w:spacing w:after="0" w:line="360" w:lineRule="auto"/>
        <w:ind w:left="0" w:right="72" w:firstLine="688"/>
        <w:rPr>
          <w:szCs w:val="28"/>
          <w:lang w:val="uk-UA"/>
        </w:rPr>
      </w:pPr>
      <w:r w:rsidRPr="007016BD">
        <w:rPr>
          <w:szCs w:val="28"/>
          <w:lang w:val="uk-UA"/>
        </w:rPr>
        <w:t>умови конкуренції;</w:t>
      </w:r>
    </w:p>
    <w:p w:rsidR="001B1727" w:rsidRPr="007016BD" w:rsidRDefault="001B1727" w:rsidP="001B1727">
      <w:pPr>
        <w:pStyle w:val="a4"/>
        <w:numPr>
          <w:ilvl w:val="0"/>
          <w:numId w:val="1"/>
        </w:numPr>
        <w:tabs>
          <w:tab w:val="left" w:pos="993"/>
        </w:tabs>
        <w:spacing w:after="0" w:line="360" w:lineRule="auto"/>
        <w:ind w:left="0" w:right="72" w:firstLine="688"/>
        <w:rPr>
          <w:szCs w:val="28"/>
          <w:lang w:val="uk-UA"/>
        </w:rPr>
      </w:pPr>
      <w:r w:rsidRPr="007016BD">
        <w:rPr>
          <w:szCs w:val="28"/>
          <w:lang w:val="uk-UA"/>
        </w:rPr>
        <w:t>рівень ринкових цін;</w:t>
      </w:r>
    </w:p>
    <w:p w:rsidR="001B1727" w:rsidRPr="007016BD" w:rsidRDefault="001B1727" w:rsidP="001B1727">
      <w:pPr>
        <w:pStyle w:val="a4"/>
        <w:numPr>
          <w:ilvl w:val="0"/>
          <w:numId w:val="1"/>
        </w:numPr>
        <w:tabs>
          <w:tab w:val="left" w:pos="993"/>
        </w:tabs>
        <w:spacing w:after="0" w:line="360" w:lineRule="auto"/>
        <w:ind w:left="0" w:right="72" w:firstLine="688"/>
        <w:rPr>
          <w:szCs w:val="28"/>
          <w:lang w:val="uk-UA"/>
        </w:rPr>
      </w:pPr>
      <w:r w:rsidRPr="007016BD">
        <w:rPr>
          <w:szCs w:val="28"/>
          <w:lang w:val="uk-UA"/>
        </w:rPr>
        <w:t>вимоги до продукції;</w:t>
      </w:r>
    </w:p>
    <w:p w:rsidR="001B1727" w:rsidRPr="007016BD" w:rsidRDefault="001B1727" w:rsidP="001B1727">
      <w:pPr>
        <w:pStyle w:val="a4"/>
        <w:numPr>
          <w:ilvl w:val="0"/>
          <w:numId w:val="1"/>
        </w:numPr>
        <w:tabs>
          <w:tab w:val="left" w:pos="993"/>
        </w:tabs>
        <w:spacing w:after="0" w:line="360" w:lineRule="auto"/>
        <w:ind w:left="0" w:right="72" w:firstLine="688"/>
        <w:rPr>
          <w:szCs w:val="28"/>
          <w:lang w:val="uk-UA"/>
        </w:rPr>
      </w:pPr>
      <w:r w:rsidRPr="007016BD">
        <w:rPr>
          <w:szCs w:val="28"/>
          <w:lang w:val="uk-UA"/>
        </w:rPr>
        <w:t>необхідний рівень кваліфікації персоналу.</w:t>
      </w:r>
    </w:p>
    <w:p w:rsidR="001B1727" w:rsidRPr="007016BD" w:rsidRDefault="001B1727" w:rsidP="001B1727">
      <w:pPr>
        <w:spacing w:after="0" w:line="360" w:lineRule="auto"/>
        <w:ind w:right="72" w:firstLine="709"/>
        <w:rPr>
          <w:szCs w:val="28"/>
          <w:lang w:val="uk-UA"/>
        </w:rPr>
      </w:pPr>
      <w:r w:rsidRPr="007016BD">
        <w:rPr>
          <w:szCs w:val="28"/>
          <w:lang w:val="uk-UA"/>
        </w:rPr>
        <w:t>Визначення цільового обсягу продажу до кінця розрахункового періоду проводиться на основі прогнозної величини ємкості цільового ринку та оціночної вартості підприємства на ньому.</w:t>
      </w:r>
    </w:p>
    <w:p w:rsidR="001B1727" w:rsidRPr="007016BD" w:rsidRDefault="001B1727" w:rsidP="001B1727">
      <w:pPr>
        <w:spacing w:after="0" w:line="360" w:lineRule="auto"/>
        <w:ind w:right="72" w:firstLine="709"/>
        <w:rPr>
          <w:szCs w:val="28"/>
          <w:lang w:val="uk-UA"/>
        </w:rPr>
      </w:pPr>
      <w:r w:rsidRPr="007016BD">
        <w:rPr>
          <w:szCs w:val="28"/>
          <w:lang w:val="uk-UA"/>
        </w:rPr>
        <w:t xml:space="preserve">Після ідентифікації зони «продукт – цільова група», визначення обсягів продажу початкового і заключного років функціонування проекту необхідно розробити </w:t>
      </w:r>
      <w:r w:rsidRPr="007016BD">
        <w:rPr>
          <w:iCs/>
          <w:szCs w:val="28"/>
          <w:lang w:val="uk-UA"/>
        </w:rPr>
        <w:t>стратегію маркетингу.</w:t>
      </w:r>
    </w:p>
    <w:p w:rsidR="001B1727" w:rsidRPr="007016BD" w:rsidRDefault="001B1727" w:rsidP="001B1727">
      <w:pPr>
        <w:spacing w:after="0" w:line="360" w:lineRule="auto"/>
        <w:ind w:right="72" w:firstLine="709"/>
        <w:rPr>
          <w:szCs w:val="28"/>
          <w:lang w:val="uk-UA"/>
        </w:rPr>
      </w:pPr>
      <w:r w:rsidRPr="007016BD">
        <w:rPr>
          <w:iCs/>
          <w:szCs w:val="28"/>
          <w:lang w:val="uk-UA"/>
        </w:rPr>
        <w:t>Маркетингова стратегія проекту підпорядкована корпоративній стратегії діяльності підприємства (фірми).</w:t>
      </w:r>
      <w:r w:rsidRPr="007016BD">
        <w:rPr>
          <w:szCs w:val="28"/>
          <w:lang w:val="uk-UA"/>
        </w:rPr>
        <w:t xml:space="preserve"> Її вибір залежить від багатьох зовнішніх і внутрішніх факторів, найбільш важливими серед яких є:</w:t>
      </w:r>
    </w:p>
    <w:p w:rsidR="001B1727" w:rsidRPr="007016BD" w:rsidRDefault="001B1727" w:rsidP="001B1727">
      <w:pPr>
        <w:pStyle w:val="a4"/>
        <w:numPr>
          <w:ilvl w:val="0"/>
          <w:numId w:val="1"/>
        </w:numPr>
        <w:tabs>
          <w:tab w:val="left" w:pos="993"/>
        </w:tabs>
        <w:spacing w:after="0" w:line="360" w:lineRule="auto"/>
        <w:ind w:left="0" w:right="72" w:firstLine="688"/>
        <w:rPr>
          <w:szCs w:val="28"/>
          <w:lang w:val="uk-UA"/>
        </w:rPr>
      </w:pPr>
      <w:r w:rsidRPr="007016BD">
        <w:rPr>
          <w:szCs w:val="28"/>
          <w:lang w:val="uk-UA"/>
        </w:rPr>
        <w:t>фактори, що характеризують стан галузі та умови конкуренції в ній;</w:t>
      </w:r>
    </w:p>
    <w:p w:rsidR="001B1727" w:rsidRPr="007016BD" w:rsidRDefault="001B1727" w:rsidP="001B1727">
      <w:pPr>
        <w:pStyle w:val="a4"/>
        <w:numPr>
          <w:ilvl w:val="0"/>
          <w:numId w:val="1"/>
        </w:numPr>
        <w:tabs>
          <w:tab w:val="left" w:pos="993"/>
        </w:tabs>
        <w:spacing w:after="0" w:line="360" w:lineRule="auto"/>
        <w:ind w:left="0" w:right="72" w:firstLine="688"/>
        <w:rPr>
          <w:szCs w:val="28"/>
          <w:lang w:val="uk-UA"/>
        </w:rPr>
      </w:pPr>
      <w:r w:rsidRPr="007016BD">
        <w:rPr>
          <w:szCs w:val="28"/>
          <w:lang w:val="uk-UA"/>
        </w:rPr>
        <w:lastRenderedPageBreak/>
        <w:t>фактори, що характеризують конкурентні можливості фірми, її ринкову позицію і потенціал.</w:t>
      </w:r>
    </w:p>
    <w:p w:rsidR="001B1727" w:rsidRPr="007016BD" w:rsidRDefault="001B1727" w:rsidP="001B1727">
      <w:pPr>
        <w:spacing w:after="0" w:line="360" w:lineRule="auto"/>
        <w:ind w:right="72" w:firstLine="709"/>
        <w:rPr>
          <w:szCs w:val="28"/>
          <w:lang w:val="uk-UA"/>
        </w:rPr>
      </w:pPr>
      <w:r w:rsidRPr="007016BD">
        <w:rPr>
          <w:szCs w:val="28"/>
          <w:lang w:val="uk-UA"/>
        </w:rPr>
        <w:t xml:space="preserve">При </w:t>
      </w:r>
      <w:r w:rsidRPr="007016BD">
        <w:rPr>
          <w:i/>
          <w:iCs/>
          <w:szCs w:val="28"/>
          <w:lang w:val="uk-UA"/>
        </w:rPr>
        <w:t>формуванні стратегії,</w:t>
      </w:r>
      <w:r w:rsidRPr="007016BD">
        <w:rPr>
          <w:szCs w:val="28"/>
          <w:lang w:val="uk-UA"/>
        </w:rPr>
        <w:t xml:space="preserve"> насамперед, необхідно враховувати: </w:t>
      </w:r>
    </w:p>
    <w:p w:rsidR="001B1727" w:rsidRPr="007016BD" w:rsidRDefault="001B1727" w:rsidP="001B1727">
      <w:pPr>
        <w:pStyle w:val="a4"/>
        <w:numPr>
          <w:ilvl w:val="0"/>
          <w:numId w:val="1"/>
        </w:numPr>
        <w:tabs>
          <w:tab w:val="left" w:pos="993"/>
        </w:tabs>
        <w:spacing w:after="0" w:line="360" w:lineRule="auto"/>
        <w:ind w:left="0" w:right="72" w:firstLine="688"/>
        <w:rPr>
          <w:szCs w:val="28"/>
          <w:lang w:val="uk-UA"/>
        </w:rPr>
      </w:pPr>
      <w:r w:rsidRPr="007016BD">
        <w:rPr>
          <w:szCs w:val="28"/>
          <w:lang w:val="uk-UA"/>
        </w:rPr>
        <w:t xml:space="preserve">на якій стадії життєвого циклу перебуває галузь (зародження, швидке зростання, зрілість, спад); </w:t>
      </w:r>
    </w:p>
    <w:p w:rsidR="001B1727" w:rsidRPr="007016BD" w:rsidRDefault="001B1727" w:rsidP="001B1727">
      <w:pPr>
        <w:pStyle w:val="a4"/>
        <w:numPr>
          <w:ilvl w:val="0"/>
          <w:numId w:val="1"/>
        </w:numPr>
        <w:tabs>
          <w:tab w:val="left" w:pos="993"/>
        </w:tabs>
        <w:spacing w:after="0" w:line="360" w:lineRule="auto"/>
        <w:ind w:left="0" w:right="72" w:firstLine="688"/>
        <w:rPr>
          <w:szCs w:val="28"/>
          <w:lang w:val="uk-UA"/>
        </w:rPr>
      </w:pPr>
      <w:r w:rsidRPr="007016BD">
        <w:rPr>
          <w:szCs w:val="28"/>
          <w:lang w:val="uk-UA"/>
        </w:rPr>
        <w:t xml:space="preserve">структуру галузі (роздроблена чи концентрована); </w:t>
      </w:r>
    </w:p>
    <w:p w:rsidR="001B1727" w:rsidRPr="007016BD" w:rsidRDefault="001B1727" w:rsidP="001B1727">
      <w:pPr>
        <w:pStyle w:val="a4"/>
        <w:numPr>
          <w:ilvl w:val="0"/>
          <w:numId w:val="1"/>
        </w:numPr>
        <w:tabs>
          <w:tab w:val="left" w:pos="993"/>
        </w:tabs>
        <w:spacing w:after="0" w:line="360" w:lineRule="auto"/>
        <w:ind w:left="0" w:right="72" w:firstLine="688"/>
        <w:rPr>
          <w:szCs w:val="28"/>
          <w:lang w:val="uk-UA"/>
        </w:rPr>
      </w:pPr>
      <w:r w:rsidRPr="007016BD">
        <w:rPr>
          <w:szCs w:val="28"/>
          <w:lang w:val="uk-UA"/>
        </w:rPr>
        <w:t xml:space="preserve">сутність і потужність п’яти конкурентних сил (5 Р - постачальники найбільш важливих ресурсів, покупці, конкуренція між продавцями аналогічних товарів, товари замінники, потенційні продавці даного ринку); </w:t>
      </w:r>
    </w:p>
    <w:p w:rsidR="001B1727" w:rsidRPr="007016BD" w:rsidRDefault="001B1727" w:rsidP="001B1727">
      <w:pPr>
        <w:pStyle w:val="a4"/>
        <w:numPr>
          <w:ilvl w:val="0"/>
          <w:numId w:val="1"/>
        </w:numPr>
        <w:tabs>
          <w:tab w:val="left" w:pos="993"/>
        </w:tabs>
        <w:spacing w:after="0" w:line="360" w:lineRule="auto"/>
        <w:ind w:left="0" w:right="72" w:firstLine="688"/>
        <w:rPr>
          <w:szCs w:val="28"/>
          <w:lang w:val="uk-UA"/>
        </w:rPr>
      </w:pPr>
      <w:r w:rsidRPr="007016BD">
        <w:rPr>
          <w:szCs w:val="28"/>
          <w:lang w:val="uk-UA"/>
        </w:rPr>
        <w:t>масштаби діяльності конкурентів (регіональний, національний, світовий рівні).</w:t>
      </w:r>
    </w:p>
    <w:p w:rsidR="001B1727" w:rsidRPr="007016BD" w:rsidRDefault="001B1727" w:rsidP="001B1727">
      <w:pPr>
        <w:spacing w:after="0" w:line="360" w:lineRule="auto"/>
        <w:ind w:right="72" w:firstLine="709"/>
        <w:rPr>
          <w:szCs w:val="28"/>
          <w:lang w:val="uk-UA"/>
        </w:rPr>
      </w:pPr>
      <w:r w:rsidRPr="007016BD">
        <w:rPr>
          <w:szCs w:val="28"/>
          <w:lang w:val="uk-UA"/>
        </w:rPr>
        <w:t xml:space="preserve">До довгострокових рішень відносять такі рішення, реалізація яких вимагає тривалого часу. Наслідком таких рішень на відміну від поточних рішень впливають на діяльність підприємства також протягом тривалого періоду, як правило, декількох років. Прикладами маркетингових рішень даного типу можуть служити рішення щодо вибору ринків діяльності підприємства, по обґрунтуванню позиціонування, по розробці та виведенні на ринок нових продуктів, створення нових марок, по формуванню системи розподілу товарів. </w:t>
      </w:r>
    </w:p>
    <w:p w:rsidR="001B1727" w:rsidRPr="007016BD" w:rsidRDefault="001B1727" w:rsidP="001B1727">
      <w:pPr>
        <w:spacing w:after="0" w:line="360" w:lineRule="auto"/>
        <w:ind w:right="72" w:firstLine="709"/>
        <w:rPr>
          <w:szCs w:val="28"/>
          <w:lang w:val="uk-UA"/>
        </w:rPr>
      </w:pPr>
      <w:r w:rsidRPr="007016BD">
        <w:rPr>
          <w:szCs w:val="28"/>
          <w:lang w:val="uk-UA"/>
        </w:rPr>
        <w:t xml:space="preserve">Як правило, довгострокові рішення мають стратегічну спрямованість. Більшість таких рішень є складними, що складаються з декількох взаємопов’язаних і взаємозалежних рішень, тому їх часто можна представити у вигляді так званого дерева рішень. </w:t>
      </w:r>
    </w:p>
    <w:p w:rsidR="001B1727" w:rsidRPr="007016BD" w:rsidRDefault="001B1727" w:rsidP="001B1727">
      <w:pPr>
        <w:spacing w:after="0" w:line="360" w:lineRule="auto"/>
        <w:ind w:right="72" w:firstLine="709"/>
        <w:rPr>
          <w:szCs w:val="28"/>
          <w:lang w:val="uk-UA"/>
        </w:rPr>
      </w:pPr>
      <w:r w:rsidRPr="007016BD">
        <w:rPr>
          <w:szCs w:val="28"/>
          <w:lang w:val="uk-UA"/>
        </w:rPr>
        <w:t xml:space="preserve">На відміну від цього операційні рішення частіше є одноразовими актами, прийнятими для регулювання конкретної ситуації. Так, рішення про контрактною ціною, прийняте на переговорах з одним покупцем, дійсно тільки для даної ситуації, воно не буде поширене автоматично на угоди з іншими клієнтами Прийняття та реалізація довгострокових рішень часто пов’язане з великими витратами коштів та інших ресурсів компанії. Так, </w:t>
      </w:r>
      <w:r w:rsidRPr="007016BD">
        <w:rPr>
          <w:szCs w:val="28"/>
          <w:lang w:val="uk-UA"/>
        </w:rPr>
        <w:lastRenderedPageBreak/>
        <w:t xml:space="preserve">розробка нових продуктів і їх просунення в залежно від сфери бізнесу може вимагати великих витрат (наприклад, в автомобілі). </w:t>
      </w:r>
    </w:p>
    <w:p w:rsidR="001B1727" w:rsidRPr="007016BD" w:rsidRDefault="001B1727" w:rsidP="001B1727">
      <w:pPr>
        <w:spacing w:after="0" w:line="360" w:lineRule="auto"/>
        <w:ind w:right="72" w:firstLine="709"/>
        <w:rPr>
          <w:szCs w:val="28"/>
          <w:lang w:val="uk-UA"/>
        </w:rPr>
      </w:pPr>
      <w:r w:rsidRPr="007016BD">
        <w:rPr>
          <w:szCs w:val="28"/>
          <w:lang w:val="uk-UA"/>
        </w:rPr>
        <w:t xml:space="preserve">Помилки і неточності оперативних маркетингових рішень часто можна поправити в ході їх виконання. При цьому виникнуть певні втрати або будуть потрібні додаткові витрати, але вони зазвичай не є критичними. Що стосується довгострокових рішень, то прорахунки при їх розробці можуть обернутися великими втратами. </w:t>
      </w:r>
    </w:p>
    <w:p w:rsidR="001B1727" w:rsidRPr="007016BD" w:rsidRDefault="001B1727" w:rsidP="001B1727">
      <w:pPr>
        <w:spacing w:after="0" w:line="360" w:lineRule="auto"/>
        <w:ind w:right="72" w:firstLine="709"/>
        <w:rPr>
          <w:szCs w:val="28"/>
          <w:lang w:val="uk-UA"/>
        </w:rPr>
      </w:pPr>
      <w:r w:rsidRPr="007016BD">
        <w:rPr>
          <w:szCs w:val="28"/>
          <w:lang w:val="uk-UA"/>
        </w:rPr>
        <w:t>Виправити рішення довгострокового іноді просто неможливо. Досить навести як приклад той факт, що приблизно половина нових товарів не має комерційного успіху і витрачені на їх розробку кошти часто означають прямі втрати для компанії. Важливість довгострокових рішень і висока вартість їх реалізації визначають необхідність їх ретельного обґрунтування. Особливу увагу при цьому слід звернути на оцінку економічної ефективності довгострокових маркетингових рішень.</w:t>
      </w:r>
    </w:p>
    <w:p w:rsidR="001B1727" w:rsidRPr="007016BD" w:rsidRDefault="001B1727" w:rsidP="001B1727">
      <w:pPr>
        <w:spacing w:after="0" w:line="360" w:lineRule="auto"/>
        <w:ind w:right="72" w:firstLine="709"/>
        <w:rPr>
          <w:szCs w:val="28"/>
          <w:lang w:val="uk-UA"/>
        </w:rPr>
      </w:pPr>
      <w:r w:rsidRPr="007016BD">
        <w:rPr>
          <w:szCs w:val="28"/>
          <w:lang w:val="uk-UA"/>
        </w:rPr>
        <w:t>Методи оцінки ефективності довгострокових маркетингових рішень. Довгострокові маркетингові рішення зазвичай найчастіше пов'язані з оцінкою і вибором проектів, для виконання яких потрібні значні одноразові витрати. В результаті здійснених вкладень в проект, наприклад, зі створення та виведенню нового продукту, компанія збільшить грошові надходження в майбутньому періоді. Віддача на вкладені інвестиції буде здійснюватися протягом кількох років. При освоєнні нової продукції такий період визначається тривалістю її життєвого циклу. Таким чином, з економічної точки зору довгострокові рішення - це рішення про доцільність витрачання фінансових коштів компанії в поточний момент для забезпечення її майбутніх доходів (точніше - збільшення цих доходів). При аналізі ефективності рішень інвестиційного характеру неможливо використовувати ті ж методи, що і для поточних рішень.</w:t>
      </w:r>
    </w:p>
    <w:p w:rsidR="001B1727" w:rsidRPr="007016BD" w:rsidRDefault="001B1727" w:rsidP="001B1727">
      <w:pPr>
        <w:spacing w:after="0" w:line="360" w:lineRule="auto"/>
        <w:ind w:right="72" w:firstLine="709"/>
        <w:rPr>
          <w:szCs w:val="28"/>
          <w:lang w:val="uk-UA"/>
        </w:rPr>
      </w:pPr>
      <w:r w:rsidRPr="007016BD">
        <w:rPr>
          <w:szCs w:val="28"/>
          <w:lang w:val="uk-UA"/>
        </w:rPr>
        <w:t xml:space="preserve">Проблема оцінки інвестиційних рішень полягає в тому, що між моментами здійснення витрат і отримання доходів від них існує великий часовий розрив. Уявімо, що торгова компанія прийняла рішення про </w:t>
      </w:r>
      <w:r w:rsidRPr="007016BD">
        <w:rPr>
          <w:szCs w:val="28"/>
          <w:lang w:val="uk-UA"/>
        </w:rPr>
        <w:lastRenderedPageBreak/>
        <w:t xml:space="preserve">доцільність будівництва власного розподільчого складу з початку 2020 року, термін будівництва складе один рік. Інвестиції для реалізації проекту складуть 25 млн. доларів, вони будуть реалізовані в 2020 році. Функціонувати склад почне в січні 2021 року, з цього часу компанія почне отримувати економічний ефект у вигляді зниження логістичних витрат і зростання продажів. Припустимо, що термін амортизації складу становить десять років. на перший погляд може здатися, що для оцінки доцільності проекту слід зіставити суму початкових інвестицій і додаткових грошових потоків, очікуваних за весь період існування проекту. Однак, такий прийом привів би до невірних висновків, оскільки він не враховує такий важливий феномен як зміна вартості грошей у часі. У нашому прикладі компанія має намір витратити 25 мільйонів доларів в 2020 році, а додаткові доходи будуть отримані протягом наступних 10 років. </w:t>
      </w:r>
    </w:p>
    <w:p w:rsidR="001B1727" w:rsidRPr="007016BD" w:rsidRDefault="001B1727" w:rsidP="001B1727">
      <w:pPr>
        <w:spacing w:after="0" w:line="360" w:lineRule="auto"/>
        <w:ind w:right="72" w:firstLine="709"/>
        <w:rPr>
          <w:szCs w:val="28"/>
          <w:lang w:val="uk-UA"/>
        </w:rPr>
      </w:pPr>
      <w:r w:rsidRPr="007016BD">
        <w:rPr>
          <w:szCs w:val="28"/>
          <w:lang w:val="uk-UA"/>
        </w:rPr>
        <w:t xml:space="preserve">Вартість грошей в 2020 вище, ніж у 2021 році або в більш пізні роки. Чим далі лаг отримання грошей, тим менше їх вартість. Це твердження справедливе для будь-яких умов, в тому числі і при відсутності інфляції. Для оцінки ефективності довгострокових рішень, що враховують тимчасову вартість грошей, розроблено кілька методів. </w:t>
      </w:r>
    </w:p>
    <w:p w:rsidR="001B1727" w:rsidRPr="007016BD" w:rsidRDefault="001B1727" w:rsidP="001B1727">
      <w:pPr>
        <w:spacing w:after="0" w:line="360" w:lineRule="auto"/>
        <w:ind w:right="72" w:firstLine="709"/>
        <w:rPr>
          <w:szCs w:val="28"/>
          <w:lang w:val="uk-UA"/>
        </w:rPr>
      </w:pPr>
      <w:r w:rsidRPr="007016BD">
        <w:rPr>
          <w:szCs w:val="28"/>
          <w:lang w:val="uk-UA"/>
        </w:rPr>
        <w:t xml:space="preserve">Перша група методів ґрунтується на концепції альтернативних витрат. В якості альтернативних витрат в будь-якої проект використовується сума упущеного доходу, який компанія могла б отримати шляхом розміщення грошей на операції без ризику на фінансовому ринку (наприклад, депозит у надійному банку, державні цінні папери). </w:t>
      </w:r>
    </w:p>
    <w:p w:rsidR="001B1727" w:rsidRPr="007016BD" w:rsidRDefault="001B1727" w:rsidP="001B1727">
      <w:pPr>
        <w:spacing w:after="0" w:line="360" w:lineRule="auto"/>
        <w:ind w:right="72" w:firstLine="709"/>
        <w:rPr>
          <w:szCs w:val="28"/>
          <w:lang w:val="uk-UA"/>
        </w:rPr>
      </w:pPr>
      <w:r w:rsidRPr="007016BD">
        <w:rPr>
          <w:szCs w:val="28"/>
          <w:lang w:val="uk-UA"/>
        </w:rPr>
        <w:t xml:space="preserve">У цих методах грошові потоки за різні роки перераховуються за допомогою коефіцієнтів дисконтування, що забезпечує їх сумісність. </w:t>
      </w:r>
    </w:p>
    <w:p w:rsidR="001B1727" w:rsidRPr="007016BD" w:rsidRDefault="001B1727" w:rsidP="001B1727">
      <w:pPr>
        <w:spacing w:after="0" w:line="360" w:lineRule="auto"/>
        <w:ind w:right="72" w:firstLine="709"/>
        <w:rPr>
          <w:szCs w:val="28"/>
          <w:lang w:val="uk-UA"/>
        </w:rPr>
      </w:pPr>
      <w:r w:rsidRPr="007016BD">
        <w:rPr>
          <w:szCs w:val="28"/>
          <w:lang w:val="uk-UA"/>
        </w:rPr>
        <w:t xml:space="preserve">Дисконтування дозволяє визначити поточну вартість вкладень на даний момент часу. Відзначимо, що в цих методах аналізуються грошові потоки, а не прибуток. Грошовий потік являє собою різницю між грошовими надходженнями і грошовими витратами підприємства. </w:t>
      </w:r>
    </w:p>
    <w:p w:rsidR="001B1727" w:rsidRPr="007016BD" w:rsidRDefault="001B1727" w:rsidP="001B1727">
      <w:pPr>
        <w:spacing w:after="0" w:line="360" w:lineRule="auto"/>
        <w:ind w:right="72" w:firstLine="709"/>
        <w:rPr>
          <w:szCs w:val="28"/>
          <w:lang w:val="uk-UA"/>
        </w:rPr>
      </w:pPr>
      <w:r w:rsidRPr="007016BD">
        <w:rPr>
          <w:szCs w:val="28"/>
          <w:lang w:val="uk-UA"/>
        </w:rPr>
        <w:lastRenderedPageBreak/>
        <w:t xml:space="preserve">Чисельне вони дорівнюють сумі прибутку і амортизації за мінусом чистих інвестицій. </w:t>
      </w:r>
    </w:p>
    <w:p w:rsidR="001B1727" w:rsidRPr="007016BD" w:rsidRDefault="001B1727" w:rsidP="001B1727">
      <w:pPr>
        <w:spacing w:after="0" w:line="360" w:lineRule="auto"/>
        <w:ind w:right="72" w:firstLine="709"/>
        <w:rPr>
          <w:szCs w:val="28"/>
          <w:lang w:val="uk-UA"/>
        </w:rPr>
      </w:pPr>
      <w:r w:rsidRPr="007016BD">
        <w:rPr>
          <w:szCs w:val="28"/>
          <w:lang w:val="uk-UA"/>
        </w:rPr>
        <w:t>До цієї групи методів відносять:</w:t>
      </w:r>
    </w:p>
    <w:p w:rsidR="001B1727" w:rsidRPr="007016BD" w:rsidRDefault="001B1727" w:rsidP="001B1727">
      <w:pPr>
        <w:pStyle w:val="a4"/>
        <w:numPr>
          <w:ilvl w:val="0"/>
          <w:numId w:val="1"/>
        </w:numPr>
        <w:tabs>
          <w:tab w:val="left" w:pos="993"/>
        </w:tabs>
        <w:spacing w:after="0" w:line="360" w:lineRule="auto"/>
        <w:ind w:left="0" w:right="72" w:firstLine="688"/>
        <w:rPr>
          <w:szCs w:val="28"/>
          <w:lang w:val="uk-UA"/>
        </w:rPr>
      </w:pPr>
      <w:r w:rsidRPr="007016BD">
        <w:rPr>
          <w:szCs w:val="28"/>
          <w:lang w:val="uk-UA"/>
        </w:rPr>
        <w:t>розрахунок чистої поточної вартості;</w:t>
      </w:r>
    </w:p>
    <w:p w:rsidR="001B1727" w:rsidRPr="007016BD" w:rsidRDefault="001B1727" w:rsidP="001B1727">
      <w:pPr>
        <w:pStyle w:val="a4"/>
        <w:numPr>
          <w:ilvl w:val="0"/>
          <w:numId w:val="1"/>
        </w:numPr>
        <w:tabs>
          <w:tab w:val="left" w:pos="993"/>
        </w:tabs>
        <w:spacing w:after="0" w:line="360" w:lineRule="auto"/>
        <w:ind w:left="0" w:right="72" w:firstLine="688"/>
        <w:rPr>
          <w:szCs w:val="28"/>
          <w:lang w:val="uk-UA"/>
        </w:rPr>
      </w:pPr>
      <w:r w:rsidRPr="007016BD">
        <w:rPr>
          <w:szCs w:val="28"/>
          <w:lang w:val="uk-UA"/>
        </w:rPr>
        <w:t>розрахунок внутрішнього коефіцієнта віддачі (або внутрішньої нор ми ефективності);</w:t>
      </w:r>
    </w:p>
    <w:p w:rsidR="001B1727" w:rsidRPr="007016BD" w:rsidRDefault="001B1727" w:rsidP="001B1727">
      <w:pPr>
        <w:pStyle w:val="a4"/>
        <w:numPr>
          <w:ilvl w:val="0"/>
          <w:numId w:val="1"/>
        </w:numPr>
        <w:tabs>
          <w:tab w:val="left" w:pos="993"/>
        </w:tabs>
        <w:spacing w:after="0" w:line="360" w:lineRule="auto"/>
        <w:ind w:left="0" w:right="72" w:firstLine="688"/>
        <w:rPr>
          <w:szCs w:val="28"/>
          <w:lang w:val="uk-UA"/>
        </w:rPr>
      </w:pPr>
      <w:r w:rsidRPr="007016BD">
        <w:rPr>
          <w:szCs w:val="28"/>
          <w:lang w:val="uk-UA"/>
        </w:rPr>
        <w:t xml:space="preserve">розрахунок індексу рентабельності. </w:t>
      </w:r>
    </w:p>
    <w:p w:rsidR="001B1727" w:rsidRPr="007016BD" w:rsidRDefault="001B1727" w:rsidP="001B1727">
      <w:pPr>
        <w:spacing w:after="0" w:line="360" w:lineRule="auto"/>
        <w:ind w:right="72" w:firstLine="709"/>
        <w:rPr>
          <w:szCs w:val="28"/>
          <w:lang w:val="uk-UA"/>
        </w:rPr>
      </w:pPr>
      <w:r w:rsidRPr="007016BD">
        <w:rPr>
          <w:szCs w:val="28"/>
          <w:lang w:val="uk-UA"/>
        </w:rPr>
        <w:t>Методи другої групи базуються на концепції ліквідності. З цієї точки зору інвестиції в маркетинговий проект представляють переклад найбільш ліквідних активів компанії (Грошових коштів) в менш ліквідні (обладнання, будівлі, запаси). Деякі фірми можуть вибирати в якості пріоритетних такі рішення, за якими повернення витрачених коштів відбувається в найкоротший термін. До таких методів належать:</w:t>
      </w:r>
    </w:p>
    <w:p w:rsidR="001B1727" w:rsidRPr="007016BD" w:rsidRDefault="001B1727" w:rsidP="001B1727">
      <w:pPr>
        <w:pStyle w:val="a4"/>
        <w:numPr>
          <w:ilvl w:val="0"/>
          <w:numId w:val="1"/>
        </w:numPr>
        <w:tabs>
          <w:tab w:val="left" w:pos="993"/>
        </w:tabs>
        <w:spacing w:after="0" w:line="360" w:lineRule="auto"/>
        <w:ind w:left="0" w:right="72" w:firstLine="688"/>
        <w:rPr>
          <w:szCs w:val="28"/>
          <w:lang w:val="uk-UA"/>
        </w:rPr>
      </w:pPr>
      <w:r w:rsidRPr="007016BD">
        <w:rPr>
          <w:szCs w:val="28"/>
          <w:lang w:val="uk-UA"/>
        </w:rPr>
        <w:t>розрахунок терміну окупності проекту;</w:t>
      </w:r>
    </w:p>
    <w:p w:rsidR="001B1727" w:rsidRPr="007016BD" w:rsidRDefault="001B1727" w:rsidP="001B1727">
      <w:pPr>
        <w:pStyle w:val="a4"/>
        <w:numPr>
          <w:ilvl w:val="0"/>
          <w:numId w:val="1"/>
        </w:numPr>
        <w:tabs>
          <w:tab w:val="left" w:pos="993"/>
        </w:tabs>
        <w:spacing w:after="0" w:line="360" w:lineRule="auto"/>
        <w:ind w:left="0" w:right="72" w:firstLine="688"/>
        <w:rPr>
          <w:szCs w:val="28"/>
          <w:lang w:val="uk-UA"/>
        </w:rPr>
      </w:pPr>
      <w:r w:rsidRPr="007016BD">
        <w:rPr>
          <w:szCs w:val="28"/>
          <w:lang w:val="uk-UA"/>
        </w:rPr>
        <w:t>розрахунок облікового коефіцієнта окупності.</w:t>
      </w:r>
    </w:p>
    <w:p w:rsidR="001B1727" w:rsidRPr="007016BD" w:rsidRDefault="001B1727" w:rsidP="001B1727">
      <w:pPr>
        <w:spacing w:after="0" w:line="360" w:lineRule="auto"/>
        <w:ind w:right="72" w:firstLine="709"/>
        <w:rPr>
          <w:szCs w:val="28"/>
          <w:lang w:val="uk-UA"/>
        </w:rPr>
      </w:pPr>
      <w:r w:rsidRPr="007016BD">
        <w:rPr>
          <w:szCs w:val="28"/>
          <w:lang w:val="uk-UA"/>
        </w:rPr>
        <w:t xml:space="preserve">Для оцінки довгострокових рішень на основі терміну окупності застосовується метод, який засновано на визначенні часу, протягом якого накопичений обсяг грошових надходжень досягає значення первинних інвестицій за даним проектом. </w:t>
      </w:r>
    </w:p>
    <w:p w:rsidR="001B1727" w:rsidRPr="007016BD" w:rsidRDefault="001B1727" w:rsidP="001B1727">
      <w:pPr>
        <w:spacing w:after="0" w:line="360" w:lineRule="auto"/>
        <w:ind w:right="72" w:firstLine="709"/>
        <w:rPr>
          <w:szCs w:val="28"/>
          <w:lang w:val="uk-UA"/>
        </w:rPr>
      </w:pPr>
      <w:r w:rsidRPr="007016BD">
        <w:rPr>
          <w:szCs w:val="28"/>
          <w:lang w:val="uk-UA"/>
        </w:rPr>
        <w:t xml:space="preserve">Якщо щорічні грошові надходження по даному проекту приблизно однакові (рівномірні грошові потоки), то тривалість періоду повернення інвестицій визначається за формулою: </w:t>
      </w:r>
    </w:p>
    <w:p w:rsidR="001B1727" w:rsidRPr="007016BD" w:rsidRDefault="001B1727" w:rsidP="001B1727">
      <w:pPr>
        <w:spacing w:after="0" w:line="360" w:lineRule="auto"/>
        <w:ind w:right="72" w:firstLine="709"/>
        <w:rPr>
          <w:szCs w:val="28"/>
          <w:lang w:val="uk-UA"/>
        </w:rPr>
      </w:pPr>
      <w:r w:rsidRPr="007016BD">
        <w:rPr>
          <w:szCs w:val="28"/>
          <w:lang w:val="uk-UA"/>
        </w:rPr>
        <w:t xml:space="preserve">Термін окупності = Обсяг початковий капіталовкладень / Суми щорічних грошових надходжень </w:t>
      </w:r>
    </w:p>
    <w:p w:rsidR="001B1727" w:rsidRPr="007016BD" w:rsidRDefault="001B1727" w:rsidP="001B1727">
      <w:pPr>
        <w:spacing w:after="0" w:line="360" w:lineRule="auto"/>
        <w:ind w:right="72" w:firstLine="709"/>
        <w:rPr>
          <w:szCs w:val="28"/>
          <w:lang w:val="uk-UA"/>
        </w:rPr>
      </w:pPr>
      <w:r w:rsidRPr="007016BD">
        <w:rPr>
          <w:szCs w:val="28"/>
          <w:lang w:val="uk-UA"/>
        </w:rPr>
        <w:t xml:space="preserve">При різних значеннях річних грошових надходжень, термін окупності визначається шляхом розрахунку кумулятивного значення накопичених грошових потоків. початкові витрати на проект будуть повністю компенсовані в той момент, коли накопичені надходження зрівняються з початковими інвестиціями. В якості критерію оцінки різних варіантів капіталовкладень за методом розрахунку терміну окупності найчастіше </w:t>
      </w:r>
      <w:r w:rsidRPr="007016BD">
        <w:rPr>
          <w:szCs w:val="28"/>
          <w:lang w:val="uk-UA"/>
        </w:rPr>
        <w:lastRenderedPageBreak/>
        <w:t xml:space="preserve">вибирають встановлений на підприємстві термін амортизації обладнання. Доцільними вважаються варіанти, термін окупності яких не перевищує періоду амортизації. </w:t>
      </w:r>
    </w:p>
    <w:p w:rsidR="001B1727" w:rsidRPr="007016BD" w:rsidRDefault="001B1727" w:rsidP="001B1727">
      <w:pPr>
        <w:spacing w:after="0" w:line="360" w:lineRule="auto"/>
        <w:ind w:right="72" w:firstLine="709"/>
        <w:rPr>
          <w:szCs w:val="28"/>
          <w:lang w:val="uk-UA"/>
        </w:rPr>
      </w:pPr>
      <w:r w:rsidRPr="007016BD">
        <w:rPr>
          <w:szCs w:val="28"/>
          <w:lang w:val="uk-UA"/>
        </w:rPr>
        <w:t xml:space="preserve">Інакше вкладення коштів невигідне. Метод розрахунку термінів окупності вкладень заснований на концепції ліквідності. Найчастіше це є важливим фактором прийняття управлінських рішень на підприємстві. За інших рівних умовах підприємство вибере інвестиції з більш коротким періодом окупності (тобто з більшим ступенем ліквідності). </w:t>
      </w:r>
    </w:p>
    <w:p w:rsidR="001B1727" w:rsidRPr="007016BD" w:rsidRDefault="001B1727" w:rsidP="001B1727">
      <w:pPr>
        <w:spacing w:after="0" w:line="360" w:lineRule="auto"/>
        <w:ind w:right="72" w:firstLine="709"/>
        <w:rPr>
          <w:szCs w:val="28"/>
          <w:lang w:val="uk-UA"/>
        </w:rPr>
      </w:pPr>
      <w:r w:rsidRPr="007016BD">
        <w:rPr>
          <w:szCs w:val="28"/>
          <w:lang w:val="uk-UA"/>
        </w:rPr>
        <w:t>Вибір подібних варіантів вкладення коштів надає підприємству більшу свободу дій, оскільки швидше за вивільняються кошти для фінансування інших проектів. на вибір проектів з короткими термінами окупності впливає і Проблеми прогнозування очікуваних грошових потоках па довгострокову перспективу. Чим коротше термін окупності, тим вище ступінь об’єктивності складаються прогнозів. Приклад. Фірма розглядає проект створення власного торгівельного центру в одному з перспективних регіонів країни. Інвестиції в проект оцінюються в 56 млн. грн.</w:t>
      </w:r>
    </w:p>
    <w:p w:rsidR="001B1727" w:rsidRPr="007016BD" w:rsidRDefault="001B1727" w:rsidP="001B1727">
      <w:pPr>
        <w:spacing w:after="0" w:line="360" w:lineRule="auto"/>
        <w:ind w:right="72" w:firstLine="709"/>
        <w:rPr>
          <w:szCs w:val="28"/>
          <w:lang w:val="uk-UA"/>
        </w:rPr>
      </w:pPr>
    </w:p>
    <w:tbl>
      <w:tblPr>
        <w:tblStyle w:val="a3"/>
        <w:tblW w:w="0" w:type="auto"/>
        <w:tblInd w:w="10" w:type="dxa"/>
        <w:tblLook w:val="04A0" w:firstRow="1" w:lastRow="0" w:firstColumn="1" w:lastColumn="0" w:noHBand="0" w:noVBand="1"/>
      </w:tblPr>
      <w:tblGrid>
        <w:gridCol w:w="3096"/>
        <w:gridCol w:w="3109"/>
        <w:gridCol w:w="3130"/>
      </w:tblGrid>
      <w:tr w:rsidR="001B1727" w:rsidRPr="001B1727" w:rsidTr="00BD56AD">
        <w:tc>
          <w:tcPr>
            <w:tcW w:w="3169" w:type="dxa"/>
          </w:tcPr>
          <w:p w:rsidR="001B1727" w:rsidRPr="007016BD" w:rsidRDefault="001B1727" w:rsidP="00BD56AD">
            <w:pPr>
              <w:spacing w:after="0" w:line="360" w:lineRule="auto"/>
              <w:ind w:left="0" w:right="72" w:firstLine="0"/>
              <w:rPr>
                <w:szCs w:val="28"/>
                <w:lang w:val="uk-UA"/>
              </w:rPr>
            </w:pPr>
            <w:r w:rsidRPr="007016BD">
              <w:rPr>
                <w:szCs w:val="28"/>
                <w:lang w:val="uk-UA"/>
              </w:rPr>
              <w:t>Роки</w:t>
            </w:r>
          </w:p>
        </w:tc>
        <w:tc>
          <w:tcPr>
            <w:tcW w:w="3169" w:type="dxa"/>
          </w:tcPr>
          <w:p w:rsidR="001B1727" w:rsidRPr="007016BD" w:rsidRDefault="001B1727" w:rsidP="00BD56AD">
            <w:pPr>
              <w:spacing w:after="0" w:line="360" w:lineRule="auto"/>
              <w:ind w:left="0" w:right="72" w:firstLine="0"/>
              <w:rPr>
                <w:szCs w:val="28"/>
                <w:lang w:val="uk-UA"/>
              </w:rPr>
            </w:pPr>
            <w:r w:rsidRPr="007016BD">
              <w:rPr>
                <w:szCs w:val="28"/>
                <w:lang w:val="uk-UA"/>
              </w:rPr>
              <w:t>Грошові потоки (тис. грн.)</w:t>
            </w:r>
          </w:p>
        </w:tc>
        <w:tc>
          <w:tcPr>
            <w:tcW w:w="3170" w:type="dxa"/>
          </w:tcPr>
          <w:p w:rsidR="001B1727" w:rsidRPr="007016BD" w:rsidRDefault="001B1727" w:rsidP="00BD56AD">
            <w:pPr>
              <w:spacing w:after="0" w:line="360" w:lineRule="auto"/>
              <w:ind w:left="0" w:right="72" w:firstLine="0"/>
              <w:rPr>
                <w:szCs w:val="28"/>
                <w:lang w:val="uk-UA"/>
              </w:rPr>
            </w:pPr>
            <w:r w:rsidRPr="007016BD">
              <w:rPr>
                <w:szCs w:val="28"/>
                <w:lang w:val="uk-UA"/>
              </w:rPr>
              <w:t>Накопичений грошовий потік (</w:t>
            </w:r>
            <w:proofErr w:type="spellStart"/>
            <w:r w:rsidRPr="007016BD">
              <w:rPr>
                <w:szCs w:val="28"/>
                <w:lang w:val="uk-UA"/>
              </w:rPr>
              <w:t>тис.грн</w:t>
            </w:r>
            <w:proofErr w:type="spellEnd"/>
            <w:r w:rsidRPr="007016BD">
              <w:rPr>
                <w:szCs w:val="28"/>
                <w:lang w:val="uk-UA"/>
              </w:rPr>
              <w:t>.)</w:t>
            </w:r>
          </w:p>
        </w:tc>
      </w:tr>
      <w:tr w:rsidR="001B1727" w:rsidRPr="007016BD" w:rsidTr="00BD56AD">
        <w:tc>
          <w:tcPr>
            <w:tcW w:w="3169" w:type="dxa"/>
          </w:tcPr>
          <w:p w:rsidR="001B1727" w:rsidRPr="007016BD" w:rsidRDefault="001B1727" w:rsidP="00BD56AD">
            <w:pPr>
              <w:spacing w:after="0" w:line="360" w:lineRule="auto"/>
              <w:ind w:left="0" w:right="72" w:firstLine="0"/>
              <w:rPr>
                <w:szCs w:val="28"/>
                <w:lang w:val="uk-UA"/>
              </w:rPr>
            </w:pPr>
            <w:r w:rsidRPr="007016BD">
              <w:rPr>
                <w:szCs w:val="28"/>
                <w:lang w:val="uk-UA"/>
              </w:rPr>
              <w:t>1</w:t>
            </w:r>
          </w:p>
        </w:tc>
        <w:tc>
          <w:tcPr>
            <w:tcW w:w="3169" w:type="dxa"/>
          </w:tcPr>
          <w:p w:rsidR="001B1727" w:rsidRPr="007016BD" w:rsidRDefault="001B1727" w:rsidP="00BD56AD">
            <w:pPr>
              <w:spacing w:after="0" w:line="360" w:lineRule="auto"/>
              <w:ind w:left="0" w:right="72" w:firstLine="0"/>
              <w:rPr>
                <w:szCs w:val="28"/>
                <w:lang w:val="uk-UA"/>
              </w:rPr>
            </w:pPr>
            <w:r w:rsidRPr="007016BD">
              <w:rPr>
                <w:szCs w:val="28"/>
                <w:lang w:val="uk-UA"/>
              </w:rPr>
              <w:t>8 000</w:t>
            </w:r>
          </w:p>
        </w:tc>
        <w:tc>
          <w:tcPr>
            <w:tcW w:w="3170" w:type="dxa"/>
          </w:tcPr>
          <w:p w:rsidR="001B1727" w:rsidRPr="007016BD" w:rsidRDefault="001B1727" w:rsidP="00BD56AD">
            <w:pPr>
              <w:spacing w:after="0" w:line="360" w:lineRule="auto"/>
              <w:ind w:left="0" w:right="72" w:firstLine="0"/>
              <w:rPr>
                <w:szCs w:val="28"/>
                <w:lang w:val="uk-UA"/>
              </w:rPr>
            </w:pPr>
            <w:r w:rsidRPr="007016BD">
              <w:rPr>
                <w:szCs w:val="28"/>
                <w:lang w:val="uk-UA"/>
              </w:rPr>
              <w:t>8 000</w:t>
            </w:r>
          </w:p>
        </w:tc>
      </w:tr>
      <w:tr w:rsidR="001B1727" w:rsidRPr="007016BD" w:rsidTr="00BD56AD">
        <w:tc>
          <w:tcPr>
            <w:tcW w:w="3169" w:type="dxa"/>
          </w:tcPr>
          <w:p w:rsidR="001B1727" w:rsidRPr="007016BD" w:rsidRDefault="001B1727" w:rsidP="00BD56AD">
            <w:pPr>
              <w:spacing w:after="0" w:line="360" w:lineRule="auto"/>
              <w:ind w:left="0" w:right="72" w:firstLine="0"/>
              <w:rPr>
                <w:szCs w:val="28"/>
                <w:lang w:val="uk-UA"/>
              </w:rPr>
            </w:pPr>
            <w:r w:rsidRPr="007016BD">
              <w:rPr>
                <w:szCs w:val="28"/>
                <w:lang w:val="uk-UA"/>
              </w:rPr>
              <w:t>2</w:t>
            </w:r>
          </w:p>
        </w:tc>
        <w:tc>
          <w:tcPr>
            <w:tcW w:w="3169" w:type="dxa"/>
          </w:tcPr>
          <w:p w:rsidR="001B1727" w:rsidRPr="007016BD" w:rsidRDefault="001B1727" w:rsidP="00BD56AD">
            <w:pPr>
              <w:spacing w:after="0" w:line="360" w:lineRule="auto"/>
              <w:ind w:left="0" w:right="72" w:firstLine="0"/>
              <w:rPr>
                <w:szCs w:val="28"/>
                <w:lang w:val="uk-UA"/>
              </w:rPr>
            </w:pPr>
            <w:r w:rsidRPr="007016BD">
              <w:rPr>
                <w:szCs w:val="28"/>
                <w:lang w:val="uk-UA"/>
              </w:rPr>
              <w:t>11000</w:t>
            </w:r>
          </w:p>
        </w:tc>
        <w:tc>
          <w:tcPr>
            <w:tcW w:w="3170" w:type="dxa"/>
          </w:tcPr>
          <w:p w:rsidR="001B1727" w:rsidRPr="007016BD" w:rsidRDefault="001B1727" w:rsidP="00BD56AD">
            <w:pPr>
              <w:spacing w:after="0" w:line="360" w:lineRule="auto"/>
              <w:ind w:left="0" w:right="72" w:firstLine="0"/>
              <w:rPr>
                <w:szCs w:val="28"/>
                <w:lang w:val="uk-UA"/>
              </w:rPr>
            </w:pPr>
            <w:r w:rsidRPr="007016BD">
              <w:rPr>
                <w:szCs w:val="28"/>
                <w:lang w:val="uk-UA"/>
              </w:rPr>
              <w:t>19000</w:t>
            </w:r>
          </w:p>
        </w:tc>
      </w:tr>
      <w:tr w:rsidR="001B1727" w:rsidRPr="007016BD" w:rsidTr="00BD56AD">
        <w:tc>
          <w:tcPr>
            <w:tcW w:w="3169" w:type="dxa"/>
          </w:tcPr>
          <w:p w:rsidR="001B1727" w:rsidRPr="007016BD" w:rsidRDefault="001B1727" w:rsidP="00BD56AD">
            <w:pPr>
              <w:spacing w:after="0" w:line="360" w:lineRule="auto"/>
              <w:ind w:left="0" w:right="72" w:firstLine="0"/>
              <w:rPr>
                <w:szCs w:val="28"/>
                <w:lang w:val="uk-UA"/>
              </w:rPr>
            </w:pPr>
            <w:r w:rsidRPr="007016BD">
              <w:rPr>
                <w:szCs w:val="28"/>
                <w:lang w:val="uk-UA"/>
              </w:rPr>
              <w:t>3</w:t>
            </w:r>
          </w:p>
        </w:tc>
        <w:tc>
          <w:tcPr>
            <w:tcW w:w="3169" w:type="dxa"/>
          </w:tcPr>
          <w:p w:rsidR="001B1727" w:rsidRPr="007016BD" w:rsidRDefault="001B1727" w:rsidP="00BD56AD">
            <w:pPr>
              <w:spacing w:after="0" w:line="360" w:lineRule="auto"/>
              <w:ind w:left="0" w:right="72" w:firstLine="0"/>
              <w:rPr>
                <w:szCs w:val="28"/>
                <w:lang w:val="uk-UA"/>
              </w:rPr>
            </w:pPr>
            <w:r w:rsidRPr="007016BD">
              <w:rPr>
                <w:szCs w:val="28"/>
                <w:lang w:val="uk-UA"/>
              </w:rPr>
              <w:t>18000</w:t>
            </w:r>
          </w:p>
        </w:tc>
        <w:tc>
          <w:tcPr>
            <w:tcW w:w="3170" w:type="dxa"/>
          </w:tcPr>
          <w:p w:rsidR="001B1727" w:rsidRPr="007016BD" w:rsidRDefault="001B1727" w:rsidP="00BD56AD">
            <w:pPr>
              <w:spacing w:after="0" w:line="360" w:lineRule="auto"/>
              <w:ind w:left="0" w:right="72" w:firstLine="0"/>
              <w:rPr>
                <w:szCs w:val="28"/>
                <w:lang w:val="uk-UA"/>
              </w:rPr>
            </w:pPr>
            <w:r w:rsidRPr="007016BD">
              <w:rPr>
                <w:szCs w:val="28"/>
                <w:lang w:val="uk-UA"/>
              </w:rPr>
              <w:t>37000</w:t>
            </w:r>
          </w:p>
        </w:tc>
      </w:tr>
      <w:tr w:rsidR="001B1727" w:rsidRPr="007016BD" w:rsidTr="00BD56AD">
        <w:tc>
          <w:tcPr>
            <w:tcW w:w="3169" w:type="dxa"/>
          </w:tcPr>
          <w:p w:rsidR="001B1727" w:rsidRPr="007016BD" w:rsidRDefault="001B1727" w:rsidP="00BD56AD">
            <w:pPr>
              <w:spacing w:after="0" w:line="360" w:lineRule="auto"/>
              <w:ind w:left="0" w:right="72" w:firstLine="0"/>
              <w:rPr>
                <w:szCs w:val="28"/>
                <w:lang w:val="uk-UA"/>
              </w:rPr>
            </w:pPr>
            <w:r w:rsidRPr="007016BD">
              <w:rPr>
                <w:szCs w:val="28"/>
                <w:lang w:val="uk-UA"/>
              </w:rPr>
              <w:t>4</w:t>
            </w:r>
          </w:p>
        </w:tc>
        <w:tc>
          <w:tcPr>
            <w:tcW w:w="3169" w:type="dxa"/>
          </w:tcPr>
          <w:p w:rsidR="001B1727" w:rsidRPr="007016BD" w:rsidRDefault="001B1727" w:rsidP="00BD56AD">
            <w:pPr>
              <w:spacing w:after="0" w:line="360" w:lineRule="auto"/>
              <w:ind w:left="0" w:right="72" w:firstLine="0"/>
              <w:rPr>
                <w:szCs w:val="28"/>
                <w:lang w:val="uk-UA"/>
              </w:rPr>
            </w:pPr>
            <w:r w:rsidRPr="007016BD">
              <w:rPr>
                <w:szCs w:val="28"/>
                <w:lang w:val="uk-UA"/>
              </w:rPr>
              <w:t>20000</w:t>
            </w:r>
          </w:p>
        </w:tc>
        <w:tc>
          <w:tcPr>
            <w:tcW w:w="3170" w:type="dxa"/>
          </w:tcPr>
          <w:p w:rsidR="001B1727" w:rsidRPr="007016BD" w:rsidRDefault="001B1727" w:rsidP="00BD56AD">
            <w:pPr>
              <w:spacing w:after="0" w:line="360" w:lineRule="auto"/>
              <w:ind w:right="72"/>
              <w:jc w:val="left"/>
              <w:rPr>
                <w:szCs w:val="28"/>
                <w:lang w:val="uk-UA"/>
              </w:rPr>
            </w:pPr>
            <w:r w:rsidRPr="007016BD">
              <w:rPr>
                <w:szCs w:val="28"/>
                <w:lang w:val="uk-UA"/>
              </w:rPr>
              <w:t>57000</w:t>
            </w:r>
          </w:p>
        </w:tc>
      </w:tr>
    </w:tbl>
    <w:p w:rsidR="001B1727" w:rsidRPr="007016BD" w:rsidRDefault="001B1727" w:rsidP="001B1727">
      <w:pPr>
        <w:spacing w:after="0" w:line="360" w:lineRule="auto"/>
        <w:ind w:left="0" w:right="0" w:firstLine="709"/>
        <w:rPr>
          <w:szCs w:val="28"/>
          <w:lang w:val="uk-UA"/>
        </w:rPr>
      </w:pPr>
      <w:r w:rsidRPr="007016BD">
        <w:rPr>
          <w:szCs w:val="28"/>
          <w:lang w:val="uk-UA"/>
        </w:rPr>
        <w:t xml:space="preserve">В даному завдання розглянуто, що грошові надходження від нової системи регіонального розподілу рік від року зростають. В кінці четвертого року кумулятивні грошові надходження порівнюються з інвестиціями. </w:t>
      </w:r>
    </w:p>
    <w:p w:rsidR="001B1727" w:rsidRPr="007016BD" w:rsidRDefault="001B1727" w:rsidP="001B1727">
      <w:pPr>
        <w:spacing w:after="0" w:line="360" w:lineRule="auto"/>
        <w:ind w:left="0" w:right="0" w:firstLine="709"/>
        <w:rPr>
          <w:szCs w:val="28"/>
          <w:lang w:val="uk-UA"/>
        </w:rPr>
      </w:pPr>
      <w:r w:rsidRPr="007016BD">
        <w:rPr>
          <w:szCs w:val="28"/>
          <w:lang w:val="uk-UA"/>
        </w:rPr>
        <w:t xml:space="preserve">Термін окупності в даному випадку становить близько чотирьох років. Якби річні грошові потоки були приблизно рівними (припустимо - 10 </w:t>
      </w:r>
      <w:r w:rsidRPr="007016BD">
        <w:rPr>
          <w:szCs w:val="28"/>
          <w:lang w:val="uk-UA"/>
        </w:rPr>
        <w:lastRenderedPageBreak/>
        <w:t>мільйонів грн. щорічно), то термін окупності дорівнює приблизно п’яти з половиною років (56/10).</w:t>
      </w:r>
    </w:p>
    <w:p w:rsidR="00626C6C" w:rsidRPr="001B1727" w:rsidRDefault="001B1727" w:rsidP="001B1727">
      <w:pPr>
        <w:rPr>
          <w:lang w:val="ru-RU"/>
        </w:rPr>
      </w:pPr>
      <w:r w:rsidRPr="007016BD">
        <w:rPr>
          <w:szCs w:val="28"/>
          <w:lang w:val="uk-UA"/>
        </w:rPr>
        <w:t>Завдання. Привести рішення та зробіть висновки.</w:t>
      </w:r>
      <w:bookmarkStart w:id="0" w:name="_GoBack"/>
      <w:bookmarkEnd w:id="0"/>
    </w:p>
    <w:sectPr w:rsidR="00626C6C" w:rsidRPr="001B17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A572F"/>
    <w:multiLevelType w:val="hybridMultilevel"/>
    <w:tmpl w:val="CA768A48"/>
    <w:lvl w:ilvl="0" w:tplc="73BA082A">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727"/>
    <w:rsid w:val="001B1727"/>
    <w:rsid w:val="00540B18"/>
    <w:rsid w:val="00626C6C"/>
    <w:rsid w:val="009011A8"/>
    <w:rsid w:val="00DE302C"/>
    <w:rsid w:val="00F61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07DB9B-5957-44F8-8E6F-118B9A64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727"/>
    <w:pPr>
      <w:spacing w:after="4" w:line="249" w:lineRule="auto"/>
      <w:ind w:left="10" w:right="59" w:hanging="10"/>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rsid w:val="00F6144A"/>
    <w:pPr>
      <w:spacing w:after="0" w:line="360" w:lineRule="auto"/>
    </w:pPr>
    <w:rPr>
      <w:caps/>
      <w:szCs w:val="28"/>
      <w:lang w:eastAsia="ru-RU"/>
    </w:rPr>
  </w:style>
  <w:style w:type="paragraph" w:styleId="2">
    <w:name w:val="toc 2"/>
    <w:basedOn w:val="a"/>
    <w:next w:val="a"/>
    <w:autoRedefine/>
    <w:uiPriority w:val="39"/>
    <w:rsid w:val="00DE302C"/>
    <w:pPr>
      <w:tabs>
        <w:tab w:val="left" w:pos="851"/>
        <w:tab w:val="right" w:leader="dot" w:pos="9344"/>
      </w:tabs>
      <w:spacing w:after="0" w:line="360" w:lineRule="auto"/>
    </w:pPr>
    <w:rPr>
      <w:szCs w:val="28"/>
      <w:lang w:eastAsia="ru-RU"/>
    </w:rPr>
  </w:style>
  <w:style w:type="table" w:styleId="a3">
    <w:name w:val="Table Grid"/>
    <w:basedOn w:val="a1"/>
    <w:rsid w:val="001B1727"/>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B1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1560</Words>
  <Characters>8895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2021-10-08T06:42:00Z</dcterms:created>
  <dcterms:modified xsi:type="dcterms:W3CDTF">2021-10-08T06:42:00Z</dcterms:modified>
</cp:coreProperties>
</file>