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6885" w:rsidRPr="00836885" w:rsidRDefault="00836885" w:rsidP="00836885">
      <w:pPr>
        <w:spacing w:after="0" w:line="240" w:lineRule="auto"/>
        <w:ind w:firstLine="709"/>
        <w:jc w:val="center"/>
        <w:outlineLvl w:val="0"/>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t>ГЛОБАЛЬНИЙ ЕКОЛОГІЧНИЙ ФОНД</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Глобальний Екологічний Фонд (</w:t>
      </w:r>
      <w:proofErr w:type="spellStart"/>
      <w:r w:rsidRPr="00836885">
        <w:rPr>
          <w:rFonts w:ascii="Times New Roman" w:eastAsia="Times New Roman" w:hAnsi="Times New Roman" w:cs="Times New Roman"/>
          <w:sz w:val="24"/>
          <w:szCs w:val="24"/>
          <w:bdr w:val="none" w:sz="0" w:space="0" w:color="auto" w:frame="1"/>
          <w:lang w:eastAsia="uk-UA"/>
        </w:rPr>
        <w:t>ГЕФ</w:t>
      </w:r>
      <w:proofErr w:type="spellEnd"/>
      <w:r w:rsidRPr="00836885">
        <w:rPr>
          <w:rFonts w:ascii="Times New Roman" w:eastAsia="Times New Roman" w:hAnsi="Times New Roman" w:cs="Times New Roman"/>
          <w:sz w:val="24"/>
          <w:szCs w:val="24"/>
          <w:bdr w:val="none" w:sz="0" w:space="0" w:color="auto" w:frame="1"/>
          <w:lang w:eastAsia="uk-UA"/>
        </w:rPr>
        <w:t xml:space="preserve">) – це міжнародна організація, створена в 1991 році в ході підписання резолюції Радою виконавчих директорів Світового банку і відповідними домовленостями між Програмою розвитку ООН (ПРООН) та програмою ООН з навколишнього середовища (ЮНЕП), членами якої є 182 держави, міжнародні інституції, неурядові організації (НУО) і приватні компанії. Генеральним директором і головою </w:t>
      </w:r>
      <w:proofErr w:type="spellStart"/>
      <w:r w:rsidRPr="00836885">
        <w:rPr>
          <w:rFonts w:ascii="Times New Roman" w:eastAsia="Times New Roman" w:hAnsi="Times New Roman" w:cs="Times New Roman"/>
          <w:sz w:val="24"/>
          <w:szCs w:val="24"/>
          <w:bdr w:val="none" w:sz="0" w:space="0" w:color="auto" w:frame="1"/>
          <w:lang w:eastAsia="uk-UA"/>
        </w:rPr>
        <w:t>ГЕФ</w:t>
      </w:r>
      <w:proofErr w:type="spellEnd"/>
      <w:r w:rsidRPr="00836885">
        <w:rPr>
          <w:rFonts w:ascii="Times New Roman" w:eastAsia="Times New Roman" w:hAnsi="Times New Roman" w:cs="Times New Roman"/>
          <w:sz w:val="24"/>
          <w:szCs w:val="24"/>
          <w:bdr w:val="none" w:sz="0" w:space="0" w:color="auto" w:frame="1"/>
          <w:lang w:eastAsia="uk-UA"/>
        </w:rPr>
        <w:t xml:space="preserve"> є </w:t>
      </w:r>
      <w:proofErr w:type="spellStart"/>
      <w:r w:rsidRPr="00836885">
        <w:rPr>
          <w:rFonts w:ascii="Times New Roman" w:eastAsia="Times New Roman" w:hAnsi="Times New Roman" w:cs="Times New Roman"/>
          <w:sz w:val="24"/>
          <w:szCs w:val="24"/>
          <w:lang w:eastAsia="uk-UA"/>
        </w:rPr>
        <w:t>Монік</w:t>
      </w:r>
      <w:proofErr w:type="spellEnd"/>
      <w:r w:rsidRPr="00836885">
        <w:rPr>
          <w:rFonts w:ascii="Times New Roman" w:eastAsia="Times New Roman" w:hAnsi="Times New Roman" w:cs="Times New Roman"/>
          <w:sz w:val="24"/>
          <w:szCs w:val="24"/>
          <w:lang w:eastAsia="uk-UA"/>
        </w:rPr>
        <w:t xml:space="preserve"> </w:t>
      </w:r>
      <w:proofErr w:type="spellStart"/>
      <w:r w:rsidRPr="00836885">
        <w:rPr>
          <w:rFonts w:ascii="Times New Roman" w:eastAsia="Times New Roman" w:hAnsi="Times New Roman" w:cs="Times New Roman"/>
          <w:sz w:val="24"/>
          <w:szCs w:val="24"/>
          <w:lang w:eastAsia="uk-UA"/>
        </w:rPr>
        <w:t>Барбю</w:t>
      </w:r>
      <w:proofErr w:type="spellEnd"/>
      <w:r w:rsidRPr="00836885">
        <w:rPr>
          <w:rFonts w:ascii="Times New Roman" w:eastAsia="Times New Roman" w:hAnsi="Times New Roman" w:cs="Times New Roman"/>
          <w:sz w:val="24"/>
          <w:szCs w:val="24"/>
          <w:bdr w:val="none" w:sz="0" w:space="0" w:color="auto" w:frame="1"/>
          <w:lang w:eastAsia="uk-UA"/>
        </w:rPr>
        <w:t>.</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Дана організація працює заради покращення стану глобального навколишнього середовища шляхом підтримки національних ініціатив зі сталого розвитку.</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У 1994 році в </w:t>
      </w:r>
      <w:proofErr w:type="spellStart"/>
      <w:r w:rsidRPr="00836885">
        <w:rPr>
          <w:rFonts w:ascii="Times New Roman" w:eastAsia="Times New Roman" w:hAnsi="Times New Roman" w:cs="Times New Roman"/>
          <w:sz w:val="24"/>
          <w:szCs w:val="24"/>
          <w:lang w:eastAsia="uk-UA"/>
        </w:rPr>
        <w:t>Ріо</w:t>
      </w:r>
      <w:proofErr w:type="spellEnd"/>
      <w:r w:rsidRPr="00836885">
        <w:rPr>
          <w:rFonts w:ascii="Times New Roman" w:eastAsia="Times New Roman" w:hAnsi="Times New Roman" w:cs="Times New Roman"/>
          <w:sz w:val="24"/>
          <w:szCs w:val="24"/>
          <w:lang w:eastAsia="uk-UA"/>
        </w:rPr>
        <w:t xml:space="preserve"> на Саміті Землі,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була реорганізована і вийшла з системи Світового банку та стала постійною, окремою установою.</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є фінансовим механізмом, що надає гранти для країн що розвиваються та країн з перехідною економікою для проектів пов'язаних з:</w:t>
      </w:r>
    </w:p>
    <w:p w:rsid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sectPr w:rsidR="00836885" w:rsidSect="00836885">
          <w:pgSz w:w="11906" w:h="16838"/>
          <w:pgMar w:top="567" w:right="567" w:bottom="567" w:left="851" w:header="709" w:footer="709" w:gutter="0"/>
          <w:cols w:space="708"/>
          <w:docGrid w:linePitch="360"/>
        </w:sectPr>
      </w:pPr>
    </w:p>
    <w:p w:rsidR="00836885" w:rsidRP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proofErr w:type="spellStart"/>
      <w:r w:rsidRPr="00836885">
        <w:rPr>
          <w:rFonts w:ascii="Times New Roman" w:eastAsia="Times New Roman" w:hAnsi="Times New Roman" w:cs="Times New Roman"/>
          <w:sz w:val="24"/>
          <w:szCs w:val="24"/>
          <w:lang w:eastAsia="uk-UA"/>
        </w:rPr>
        <w:lastRenderedPageBreak/>
        <w:t>біорізноманіття</w:t>
      </w:r>
      <w:proofErr w:type="spellEnd"/>
      <w:r w:rsidRPr="00836885">
        <w:rPr>
          <w:rFonts w:ascii="Times New Roman" w:eastAsia="Times New Roman" w:hAnsi="Times New Roman" w:cs="Times New Roman"/>
          <w:sz w:val="24"/>
          <w:szCs w:val="24"/>
          <w:lang w:eastAsia="uk-UA"/>
        </w:rPr>
        <w:t>;</w:t>
      </w:r>
    </w:p>
    <w:p w:rsidR="00836885" w:rsidRP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зміна клімату;</w:t>
      </w:r>
    </w:p>
    <w:p w:rsidR="00836885" w:rsidRP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міжнародні води;</w:t>
      </w:r>
    </w:p>
    <w:p w:rsidR="00836885" w:rsidRP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lastRenderedPageBreak/>
        <w:t>деградація земель;</w:t>
      </w:r>
    </w:p>
    <w:p w:rsidR="00836885" w:rsidRP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озоновий шар;</w:t>
      </w:r>
    </w:p>
    <w:p w:rsid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sectPr w:rsidR="00836885" w:rsidSect="00836885">
          <w:type w:val="continuous"/>
          <w:pgSz w:w="11906" w:h="16838"/>
          <w:pgMar w:top="567" w:right="567" w:bottom="567" w:left="851" w:header="709" w:footer="709" w:gutter="0"/>
          <w:cols w:num="2" w:space="708"/>
          <w:docGrid w:linePitch="360"/>
        </w:sectPr>
      </w:pPr>
      <w:r w:rsidRPr="00836885">
        <w:rPr>
          <w:rFonts w:ascii="Times New Roman" w:eastAsia="Times New Roman" w:hAnsi="Times New Roman" w:cs="Times New Roman"/>
          <w:sz w:val="24"/>
          <w:szCs w:val="24"/>
          <w:lang w:eastAsia="uk-UA"/>
        </w:rPr>
        <w:t xml:space="preserve">стійкі </w:t>
      </w:r>
    </w:p>
    <w:p w:rsidR="00836885" w:rsidRPr="00836885" w:rsidRDefault="00836885" w:rsidP="00836885">
      <w:pPr>
        <w:numPr>
          <w:ilvl w:val="0"/>
          <w:numId w:val="1"/>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lastRenderedPageBreak/>
        <w:t>органічні забруднювачі.</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Починаючи з 1991 р., Глобальний Екологічний Фонд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виділив грантів на суму 8.7 мільярдів доларів США задля підтримки більше 2400 проектів, що сприяють глобальному покращенню навколишнього середовища в більш ніж 160 країнах, що розвиваються, та країнах з перехідною економікою.</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Фінансування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здійснюється за рахунок країн-донорів. В 2006 році 32 країни-донори внесли 3.13 мільярди доларів США задля фінансування операцій Фонду протягом чотирьох років.</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надає гранти для різних типів проектів, починаючи від кількох тисяч до кількох мільйонів доларів. Це повномасштабні проекти, </w:t>
      </w:r>
      <w:proofErr w:type="spellStart"/>
      <w:r w:rsidRPr="00836885">
        <w:rPr>
          <w:rFonts w:ascii="Times New Roman" w:eastAsia="Times New Roman" w:hAnsi="Times New Roman" w:cs="Times New Roman"/>
          <w:sz w:val="24"/>
          <w:szCs w:val="24"/>
          <w:lang w:eastAsia="uk-UA"/>
        </w:rPr>
        <w:t>середньорозмірні</w:t>
      </w:r>
      <w:proofErr w:type="spellEnd"/>
      <w:r w:rsidRPr="00836885">
        <w:rPr>
          <w:rFonts w:ascii="Times New Roman" w:eastAsia="Times New Roman" w:hAnsi="Times New Roman" w:cs="Times New Roman"/>
          <w:sz w:val="24"/>
          <w:szCs w:val="24"/>
          <w:lang w:eastAsia="uk-UA"/>
        </w:rPr>
        <w:t>, програмні підходи і стимулюючі заходи.</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proofErr w:type="spellStart"/>
      <w:r w:rsidRPr="00836885">
        <w:rPr>
          <w:rFonts w:ascii="Times New Roman" w:eastAsia="Times New Roman" w:hAnsi="Times New Roman" w:cs="Times New Roman"/>
          <w:b/>
          <w:bCs/>
          <w:sz w:val="24"/>
          <w:szCs w:val="24"/>
          <w:lang w:eastAsia="uk-UA"/>
        </w:rPr>
        <w:t>ГЕФ</w:t>
      </w:r>
      <w:proofErr w:type="spellEnd"/>
      <w:r w:rsidRPr="00836885">
        <w:rPr>
          <w:rFonts w:ascii="Times New Roman" w:eastAsia="Times New Roman" w:hAnsi="Times New Roman" w:cs="Times New Roman"/>
          <w:b/>
          <w:bCs/>
          <w:sz w:val="24"/>
          <w:szCs w:val="24"/>
          <w:lang w:eastAsia="uk-UA"/>
        </w:rPr>
        <w:t xml:space="preserve"> виступає донором через свої виконавчі агенції для впровадження в дію проектів на території країн реципієнтів. Таким чином, кошти перераховуються не державі а на рахунки виконавчих агенцій </w:t>
      </w:r>
      <w:proofErr w:type="spellStart"/>
      <w:r w:rsidRPr="00836885">
        <w:rPr>
          <w:rFonts w:ascii="Times New Roman" w:eastAsia="Times New Roman" w:hAnsi="Times New Roman" w:cs="Times New Roman"/>
          <w:b/>
          <w:bCs/>
          <w:sz w:val="24"/>
          <w:szCs w:val="24"/>
          <w:lang w:eastAsia="uk-UA"/>
        </w:rPr>
        <w:t>ГЕФ</w:t>
      </w:r>
      <w:proofErr w:type="spellEnd"/>
      <w:r w:rsidRPr="00836885">
        <w:rPr>
          <w:rFonts w:ascii="Times New Roman" w:eastAsia="Times New Roman" w:hAnsi="Times New Roman" w:cs="Times New Roman"/>
          <w:b/>
          <w:bCs/>
          <w:sz w:val="24"/>
          <w:szCs w:val="24"/>
          <w:lang w:eastAsia="uk-UA"/>
        </w:rPr>
        <w:t>.</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Виконавчими агенціями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що здійснюють управління його проектами є 10 установ: Програма розвитку ООН, Програма ООН з навколишнього середовища, Світовий банк, Африканський банк розвитку (</w:t>
      </w:r>
      <w:proofErr w:type="spellStart"/>
      <w:r w:rsidRPr="00836885">
        <w:rPr>
          <w:rFonts w:ascii="Times New Roman" w:eastAsia="Times New Roman" w:hAnsi="Times New Roman" w:cs="Times New Roman"/>
          <w:sz w:val="24"/>
          <w:szCs w:val="24"/>
          <w:lang w:eastAsia="uk-UA"/>
        </w:rPr>
        <w:t>AfDB</w:t>
      </w:r>
      <w:proofErr w:type="spellEnd"/>
      <w:r w:rsidRPr="00836885">
        <w:rPr>
          <w:rFonts w:ascii="Times New Roman" w:eastAsia="Times New Roman" w:hAnsi="Times New Roman" w:cs="Times New Roman"/>
          <w:sz w:val="24"/>
          <w:szCs w:val="24"/>
          <w:lang w:eastAsia="uk-UA"/>
        </w:rPr>
        <w:t xml:space="preserve">), Азіатський банк розвитку (ADB), Європейський банк реконструкції та розвитку (EBRD), Організація харчування та сільського господарства ООН (FAO), Міжамериканський банк розвитку (IDB), Міжнародний фонд розвитку сільського господарства (IFAD), а також Організація розвитку промисловості ООН (UNIDO).  Науково-технічний консультативний комітет надає технічні та наукові консультації з питань політики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і проектів.</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 При цьому кожний проект має мати </w:t>
      </w:r>
      <w:proofErr w:type="spellStart"/>
      <w:r w:rsidRPr="00836885">
        <w:rPr>
          <w:rFonts w:ascii="Times New Roman" w:eastAsia="Times New Roman" w:hAnsi="Times New Roman" w:cs="Times New Roman"/>
          <w:sz w:val="24"/>
          <w:szCs w:val="24"/>
          <w:lang w:eastAsia="uk-UA"/>
        </w:rPr>
        <w:t>співфінансування</w:t>
      </w:r>
      <w:proofErr w:type="spellEnd"/>
      <w:r w:rsidRPr="00836885">
        <w:rPr>
          <w:rFonts w:ascii="Times New Roman" w:eastAsia="Times New Roman" w:hAnsi="Times New Roman" w:cs="Times New Roman"/>
          <w:sz w:val="24"/>
          <w:szCs w:val="24"/>
          <w:lang w:eastAsia="uk-UA"/>
        </w:rPr>
        <w:t xml:space="preserve">, і держава, яка бажає отримати кошти від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повинна декларувати його у співвідношенні орієнтовно 1 до 3. Таке </w:t>
      </w:r>
      <w:proofErr w:type="spellStart"/>
      <w:r w:rsidRPr="00836885">
        <w:rPr>
          <w:rFonts w:ascii="Times New Roman" w:eastAsia="Times New Roman" w:hAnsi="Times New Roman" w:cs="Times New Roman"/>
          <w:sz w:val="24"/>
          <w:szCs w:val="24"/>
          <w:lang w:eastAsia="uk-UA"/>
        </w:rPr>
        <w:t>співфінансування</w:t>
      </w:r>
      <w:proofErr w:type="spellEnd"/>
      <w:r w:rsidRPr="00836885">
        <w:rPr>
          <w:rFonts w:ascii="Times New Roman" w:eastAsia="Times New Roman" w:hAnsi="Times New Roman" w:cs="Times New Roman"/>
          <w:sz w:val="24"/>
          <w:szCs w:val="24"/>
          <w:lang w:eastAsia="uk-UA"/>
        </w:rPr>
        <w:t xml:space="preserve"> можна вважати дещо «віртуальним», оскільки достатньо щоб урядом було задекларовано фінансування певної сфери в тематичний проект якої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має намір вложити свої кошти.</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Кожна країна визначає чиновників, які відповідатимуть за діяльність в рамках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В Україні відповідно до постанови КМУ №1371 від 13.09.2002 відповідальним за співпрацю з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назначено Міністерство екології та природних ресурсів України тому саме даний орган влади визначає цих чиновників, відомих як Координатори </w:t>
      </w:r>
      <w:proofErr w:type="spellStart"/>
      <w:r w:rsidRPr="00836885">
        <w:rPr>
          <w:rFonts w:ascii="Times New Roman" w:eastAsia="Times New Roman" w:hAnsi="Times New Roman" w:cs="Times New Roman"/>
          <w:sz w:val="24"/>
          <w:szCs w:val="24"/>
          <w:lang w:eastAsia="uk-UA"/>
        </w:rPr>
        <w:t>“GEFFocalPoints”</w:t>
      </w:r>
      <w:proofErr w:type="spellEnd"/>
      <w:r w:rsidRPr="00836885">
        <w:rPr>
          <w:rFonts w:ascii="Times New Roman" w:eastAsia="Times New Roman" w:hAnsi="Times New Roman" w:cs="Times New Roman"/>
          <w:sz w:val="24"/>
          <w:szCs w:val="24"/>
          <w:lang w:eastAsia="uk-UA"/>
        </w:rPr>
        <w:t>, що відіграють ключову роль в забезпеченні відповідності проектів національним потребам та пріоритетам.</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Є два види національних координаторів:</w:t>
      </w:r>
    </w:p>
    <w:p w:rsidR="00836885" w:rsidRPr="00836885" w:rsidRDefault="00836885" w:rsidP="00836885">
      <w:pPr>
        <w:numPr>
          <w:ilvl w:val="0"/>
          <w:numId w:val="2"/>
        </w:numPr>
        <w:tabs>
          <w:tab w:val="clear" w:pos="720"/>
          <w:tab w:val="num" w:pos="142"/>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Політичний координатор є відповідальний за політику та  питання щодо діяльності державних органів влади, а також співпрацю з іншими зацікавленими органами в його країні. Всі країни-члени мають Політичних координаторів.</w:t>
      </w:r>
    </w:p>
    <w:p w:rsidR="00836885" w:rsidRPr="00836885" w:rsidRDefault="00836885" w:rsidP="00836885">
      <w:pPr>
        <w:numPr>
          <w:ilvl w:val="0"/>
          <w:numId w:val="2"/>
        </w:numPr>
        <w:tabs>
          <w:tab w:val="clear" w:pos="720"/>
          <w:tab w:val="num" w:pos="142"/>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Операційний координатор </w:t>
      </w:r>
      <w:proofErr w:type="spellStart"/>
      <w:r w:rsidRPr="00836885">
        <w:rPr>
          <w:rFonts w:ascii="Times New Roman" w:eastAsia="Times New Roman" w:hAnsi="Times New Roman" w:cs="Times New Roman"/>
          <w:sz w:val="24"/>
          <w:szCs w:val="24"/>
          <w:lang w:eastAsia="uk-UA"/>
        </w:rPr>
        <w:t>ГЕФє</w:t>
      </w:r>
      <w:proofErr w:type="spellEnd"/>
      <w:r w:rsidRPr="00836885">
        <w:rPr>
          <w:rFonts w:ascii="Times New Roman" w:eastAsia="Times New Roman" w:hAnsi="Times New Roman" w:cs="Times New Roman"/>
          <w:sz w:val="24"/>
          <w:szCs w:val="24"/>
          <w:lang w:eastAsia="uk-UA"/>
        </w:rPr>
        <w:t xml:space="preserve"> відповідальним за програму координації проектів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в межах своєї країни, а також іншу операційну діяльність. Тільки ті країни мають право на фінансування по лінії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які, як очікується, призначать операційного координатора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Концепції проектів можуть бути розроблені урядами, неурядовими організаціями, громадами, приватним сектором, або іншими структурами громадянського суспільства. Ініціатори проекту тісно співпрацюють з національними координаційними центрами </w:t>
      </w:r>
      <w:proofErr w:type="spellStart"/>
      <w:r w:rsidRPr="00836885">
        <w:rPr>
          <w:rFonts w:ascii="Times New Roman" w:eastAsia="Times New Roman" w:hAnsi="Times New Roman" w:cs="Times New Roman"/>
          <w:sz w:val="24"/>
          <w:szCs w:val="24"/>
          <w:lang w:eastAsia="uk-UA"/>
        </w:rPr>
        <w:t>ГЕФта</w:t>
      </w:r>
      <w:proofErr w:type="spellEnd"/>
      <w:r w:rsidRPr="00836885">
        <w:rPr>
          <w:rFonts w:ascii="Times New Roman" w:eastAsia="Times New Roman" w:hAnsi="Times New Roman" w:cs="Times New Roman"/>
          <w:sz w:val="24"/>
          <w:szCs w:val="24"/>
          <w:lang w:eastAsia="uk-UA"/>
        </w:rPr>
        <w:t xml:space="preserve"> Агентствами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з метою розробки концепцій і спостереженням за життєвим циклом проекту.</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sz w:val="24"/>
          <w:szCs w:val="24"/>
          <w:lang w:eastAsia="uk-UA"/>
        </w:rPr>
        <w:t xml:space="preserve">Проекти затверджуються Радою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Рада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 xml:space="preserve"> є головним керівним органом. Вона складається з 32 членів – представників країн-членів </w:t>
      </w:r>
      <w:proofErr w:type="spellStart"/>
      <w:r w:rsidRPr="00836885">
        <w:rPr>
          <w:rFonts w:ascii="Times New Roman" w:eastAsia="Times New Roman" w:hAnsi="Times New Roman" w:cs="Times New Roman"/>
          <w:sz w:val="24"/>
          <w:szCs w:val="24"/>
          <w:lang w:eastAsia="uk-UA"/>
        </w:rPr>
        <w:t>ГЕФ</w:t>
      </w:r>
      <w:proofErr w:type="spellEnd"/>
      <w:r w:rsidRPr="00836885">
        <w:rPr>
          <w:rFonts w:ascii="Times New Roman" w:eastAsia="Times New Roman" w:hAnsi="Times New Roman" w:cs="Times New Roman"/>
          <w:sz w:val="24"/>
          <w:szCs w:val="24"/>
          <w:lang w:eastAsia="uk-UA"/>
        </w:rPr>
        <w:t>.</w:t>
      </w:r>
      <w:r w:rsidRPr="00836885">
        <w:rPr>
          <w:rFonts w:ascii="Times New Roman" w:eastAsia="Times New Roman" w:hAnsi="Times New Roman" w:cs="Times New Roman"/>
          <w:b/>
          <w:kern w:val="36"/>
          <w:sz w:val="24"/>
          <w:szCs w:val="24"/>
          <w:u w:val="single"/>
          <w:lang w:eastAsia="uk-UA"/>
        </w:rPr>
        <w:br w:type="page"/>
      </w:r>
    </w:p>
    <w:p w:rsidR="00836885" w:rsidRPr="00836885" w:rsidRDefault="00836885" w:rsidP="00836885">
      <w:pPr>
        <w:spacing w:after="0" w:line="240" w:lineRule="auto"/>
        <w:ind w:firstLine="709"/>
        <w:jc w:val="center"/>
        <w:outlineLvl w:val="0"/>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lastRenderedPageBreak/>
        <w:t>ЄВРОПЕЙСЬКА ЕКОЛОГІЧНА АГЕНЦІЯ</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Головною метою діяльності Європейської екологічної агенції (далі – ЄЕА) є забезпечення незалежною інформацією про стан навколишнього середовища. Це основна інформаційна база для тих, хто залучений в розвиток, прийняття, проведення і оцінювання екологічної політики, а також для громадськості.</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ЄЕА працює в межах 4 основних блоків питань: </w:t>
      </w:r>
    </w:p>
    <w:p w:rsidR="00836885" w:rsidRPr="00836885" w:rsidRDefault="00836885" w:rsidP="00836885">
      <w:pPr>
        <w:numPr>
          <w:ilvl w:val="0"/>
          <w:numId w:val="3"/>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запобігання зміни клімату;</w:t>
      </w:r>
    </w:p>
    <w:p w:rsidR="00836885" w:rsidRPr="00836885" w:rsidRDefault="00836885" w:rsidP="00836885">
      <w:pPr>
        <w:numPr>
          <w:ilvl w:val="0"/>
          <w:numId w:val="3"/>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запобігання втратам біологічного різноманіття і розуміння його просторової зміни;</w:t>
      </w:r>
    </w:p>
    <w:p w:rsidR="00836885" w:rsidRPr="00836885" w:rsidRDefault="00836885" w:rsidP="00836885">
      <w:pPr>
        <w:numPr>
          <w:ilvl w:val="0"/>
          <w:numId w:val="3"/>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захист людського здоров'я і якості життя;</w:t>
      </w:r>
    </w:p>
    <w:p w:rsidR="00836885" w:rsidRPr="00836885" w:rsidRDefault="00836885" w:rsidP="00836885">
      <w:pPr>
        <w:numPr>
          <w:ilvl w:val="0"/>
          <w:numId w:val="3"/>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використання і управління природними ресурсами і відходами. </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ЄЕА координує Європейську мережу інформації та спостереження за довкіллям (далі - </w:t>
      </w:r>
      <w:proofErr w:type="spellStart"/>
      <w:r w:rsidRPr="00836885">
        <w:rPr>
          <w:rFonts w:ascii="Times New Roman" w:eastAsia="Times New Roman" w:hAnsi="Times New Roman" w:cs="Times New Roman"/>
          <w:sz w:val="24"/>
          <w:szCs w:val="24"/>
          <w:lang w:eastAsia="uk-UA"/>
        </w:rPr>
        <w:t>Eionet</w:t>
      </w:r>
      <w:proofErr w:type="spellEnd"/>
      <w:r w:rsidRPr="00836885">
        <w:rPr>
          <w:rFonts w:ascii="Times New Roman" w:eastAsia="Times New Roman" w:hAnsi="Times New Roman" w:cs="Times New Roman"/>
          <w:sz w:val="24"/>
          <w:szCs w:val="24"/>
          <w:lang w:eastAsia="uk-UA"/>
        </w:rPr>
        <w:t>), метою якої є вироблення індикаторів, надання рекомендацій та інформації в сфері охорони навколишнього природного середовища. ЄЕА збирає і аналізує дані про стан навколишнього природного середовища в країнах-членах ЄС, партнерів ЄС та міжнародних організацій.</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b/>
          <w:bCs/>
          <w:sz w:val="24"/>
          <w:szCs w:val="24"/>
          <w:lang w:eastAsia="uk-UA"/>
        </w:rPr>
        <w:t>Правові основи участі третіх країн в роботі Європейської екологічної агенції</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Повна участь в ЕЕА можлива тільки для держав – членів ЄС. Участь третіх країн можлива у формі повної участі без права голосу, співпраці щодо реалізації окремих пріоритетів або заходів ЄЕА та співпраці на нерегулярній основі.</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У разі повної участі без права голосу між країною та ЄЕА укладається Угода про участь, у разі співпраці щодо реалізації окремих пріоритетів або заходів агенції підписується документ про співпрацю. </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Фінансові внески встановлюватимуться залежно від заходів, в яких країна братиме участь та які буде погоджено з ЄЕА. </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 xml:space="preserve">Внески країни для повної участі в ЄЕА здійснюються на прогресивній основі за період трьох років. Рішенням Європейського парламенту передбачено, що загальна сума внеску країни-претендента на участь в ЄЕА залежить від національного ВВП (дані </w:t>
      </w:r>
      <w:proofErr w:type="spellStart"/>
      <w:r w:rsidRPr="00836885">
        <w:rPr>
          <w:rFonts w:ascii="Times New Roman" w:eastAsia="Times New Roman" w:hAnsi="Times New Roman" w:cs="Times New Roman"/>
          <w:sz w:val="24"/>
          <w:szCs w:val="24"/>
          <w:bdr w:val="none" w:sz="0" w:space="0" w:color="auto" w:frame="1"/>
          <w:lang w:eastAsia="uk-UA"/>
        </w:rPr>
        <w:t>Eurostat</w:t>
      </w:r>
      <w:proofErr w:type="spellEnd"/>
      <w:r w:rsidRPr="00836885">
        <w:rPr>
          <w:rFonts w:ascii="Times New Roman" w:eastAsia="Times New Roman" w:hAnsi="Times New Roman" w:cs="Times New Roman"/>
          <w:sz w:val="24"/>
          <w:szCs w:val="24"/>
          <w:bdr w:val="none" w:sz="0" w:space="0" w:color="auto" w:frame="1"/>
          <w:lang w:eastAsia="uk-UA"/>
        </w:rPr>
        <w:t>). Це Рішення також передбачає, що країни-претенденти можуть вносити лише частину внеску від свого національного бюджету і що решта частина коштів може бути взята від Програм Допомоги Країнам (</w:t>
      </w:r>
      <w:proofErr w:type="spellStart"/>
      <w:r w:rsidRPr="00836885">
        <w:rPr>
          <w:rFonts w:ascii="Times New Roman" w:eastAsia="Times New Roman" w:hAnsi="Times New Roman" w:cs="Times New Roman"/>
          <w:sz w:val="24"/>
          <w:szCs w:val="24"/>
          <w:bdr w:val="none" w:sz="0" w:space="0" w:color="auto" w:frame="1"/>
          <w:lang w:eastAsia="uk-UA"/>
        </w:rPr>
        <w:t>Community</w:t>
      </w:r>
      <w:proofErr w:type="spellEnd"/>
      <w:r w:rsidRPr="00836885">
        <w:rPr>
          <w:rFonts w:ascii="Times New Roman" w:eastAsia="Times New Roman" w:hAnsi="Times New Roman" w:cs="Times New Roman"/>
          <w:sz w:val="24"/>
          <w:szCs w:val="24"/>
          <w:bdr w:val="none" w:sz="0" w:space="0" w:color="auto" w:frame="1"/>
          <w:lang w:eastAsia="uk-UA"/>
        </w:rPr>
        <w:t xml:space="preserve"> </w:t>
      </w:r>
      <w:proofErr w:type="spellStart"/>
      <w:r w:rsidRPr="00836885">
        <w:rPr>
          <w:rFonts w:ascii="Times New Roman" w:eastAsia="Times New Roman" w:hAnsi="Times New Roman" w:cs="Times New Roman"/>
          <w:sz w:val="24"/>
          <w:szCs w:val="24"/>
          <w:bdr w:val="none" w:sz="0" w:space="0" w:color="auto" w:frame="1"/>
          <w:lang w:eastAsia="uk-UA"/>
        </w:rPr>
        <w:t>Assistance</w:t>
      </w:r>
      <w:proofErr w:type="spellEnd"/>
      <w:r w:rsidRPr="00836885">
        <w:rPr>
          <w:rFonts w:ascii="Times New Roman" w:eastAsia="Times New Roman" w:hAnsi="Times New Roman" w:cs="Times New Roman"/>
          <w:sz w:val="24"/>
          <w:szCs w:val="24"/>
          <w:bdr w:val="none" w:sz="0" w:space="0" w:color="auto" w:frame="1"/>
          <w:lang w:eastAsia="uk-UA"/>
        </w:rPr>
        <w:t xml:space="preserve"> </w:t>
      </w:r>
      <w:proofErr w:type="spellStart"/>
      <w:r w:rsidRPr="00836885">
        <w:rPr>
          <w:rFonts w:ascii="Times New Roman" w:eastAsia="Times New Roman" w:hAnsi="Times New Roman" w:cs="Times New Roman"/>
          <w:sz w:val="24"/>
          <w:szCs w:val="24"/>
          <w:bdr w:val="none" w:sz="0" w:space="0" w:color="auto" w:frame="1"/>
          <w:lang w:eastAsia="uk-UA"/>
        </w:rPr>
        <w:t>Programmes</w:t>
      </w:r>
      <w:proofErr w:type="spellEnd"/>
      <w:r w:rsidRPr="00836885">
        <w:rPr>
          <w:rFonts w:ascii="Times New Roman" w:eastAsia="Times New Roman" w:hAnsi="Times New Roman" w:cs="Times New Roman"/>
          <w:sz w:val="24"/>
          <w:szCs w:val="24"/>
          <w:bdr w:val="none" w:sz="0" w:space="0" w:color="auto" w:frame="1"/>
          <w:lang w:eastAsia="uk-UA"/>
        </w:rPr>
        <w:t>). </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 xml:space="preserve">Відповідно до згаданих нормативно-правових актів стратегічними пріоритетами </w:t>
      </w:r>
      <w:proofErr w:type="spellStart"/>
      <w:r w:rsidRPr="00836885">
        <w:rPr>
          <w:rFonts w:ascii="Times New Roman" w:eastAsia="Times New Roman" w:hAnsi="Times New Roman" w:cs="Times New Roman"/>
          <w:sz w:val="24"/>
          <w:szCs w:val="24"/>
          <w:bdr w:val="none" w:sz="0" w:space="0" w:color="auto" w:frame="1"/>
          <w:lang w:eastAsia="uk-UA"/>
        </w:rPr>
        <w:t>Мінприроди</w:t>
      </w:r>
      <w:proofErr w:type="spellEnd"/>
      <w:r w:rsidRPr="00836885">
        <w:rPr>
          <w:rFonts w:ascii="Times New Roman" w:eastAsia="Times New Roman" w:hAnsi="Times New Roman" w:cs="Times New Roman"/>
          <w:sz w:val="24"/>
          <w:szCs w:val="24"/>
          <w:bdr w:val="none" w:sz="0" w:space="0" w:color="auto" w:frame="1"/>
          <w:lang w:eastAsia="uk-UA"/>
        </w:rPr>
        <w:t>, які сумісні з пріоритетами діяльності Європейської екологічної агенції, є: </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Досягнення безпечного для здоров'я людини стану навколишнього природного середовища;</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Підвищення якості повітря та запобігання змінам клімату;</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Забезпечення екологічної безпеки, усунення збільшення навантаження на навколишнє природне середовище, зумовленого економічним зростанням;</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Припинення втрат </w:t>
      </w:r>
      <w:proofErr w:type="spellStart"/>
      <w:r w:rsidRPr="00836885">
        <w:rPr>
          <w:rFonts w:ascii="Times New Roman" w:eastAsia="Times New Roman" w:hAnsi="Times New Roman" w:cs="Times New Roman"/>
          <w:sz w:val="24"/>
          <w:szCs w:val="24"/>
          <w:lang w:eastAsia="uk-UA"/>
        </w:rPr>
        <w:t>біо-</w:t>
      </w:r>
      <w:proofErr w:type="spellEnd"/>
      <w:r w:rsidRPr="00836885">
        <w:rPr>
          <w:rFonts w:ascii="Times New Roman" w:eastAsia="Times New Roman" w:hAnsi="Times New Roman" w:cs="Times New Roman"/>
          <w:sz w:val="24"/>
          <w:szCs w:val="24"/>
          <w:lang w:eastAsia="uk-UA"/>
        </w:rPr>
        <w:t xml:space="preserve"> та ландшафтного різноманіття, формування </w:t>
      </w:r>
      <w:proofErr w:type="spellStart"/>
      <w:r w:rsidRPr="00836885">
        <w:rPr>
          <w:rFonts w:ascii="Times New Roman" w:eastAsia="Times New Roman" w:hAnsi="Times New Roman" w:cs="Times New Roman"/>
          <w:sz w:val="24"/>
          <w:szCs w:val="24"/>
          <w:lang w:eastAsia="uk-UA"/>
        </w:rPr>
        <w:t>екомережі</w:t>
      </w:r>
      <w:proofErr w:type="spellEnd"/>
      <w:r w:rsidRPr="00836885">
        <w:rPr>
          <w:rFonts w:ascii="Times New Roman" w:eastAsia="Times New Roman" w:hAnsi="Times New Roman" w:cs="Times New Roman"/>
          <w:sz w:val="24"/>
          <w:szCs w:val="24"/>
          <w:lang w:eastAsia="uk-UA"/>
        </w:rPr>
        <w:t>, розвиток заповідної справи;</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Докорінне вдосконалення діяльності з питань </w:t>
      </w:r>
      <w:proofErr w:type="spellStart"/>
      <w:r w:rsidRPr="00836885">
        <w:rPr>
          <w:rFonts w:ascii="Times New Roman" w:eastAsia="Times New Roman" w:hAnsi="Times New Roman" w:cs="Times New Roman"/>
          <w:sz w:val="24"/>
          <w:szCs w:val="24"/>
          <w:lang w:eastAsia="uk-UA"/>
        </w:rPr>
        <w:t>надрокористування</w:t>
      </w:r>
      <w:proofErr w:type="spellEnd"/>
      <w:r w:rsidRPr="00836885">
        <w:rPr>
          <w:rFonts w:ascii="Times New Roman" w:eastAsia="Times New Roman" w:hAnsi="Times New Roman" w:cs="Times New Roman"/>
          <w:sz w:val="24"/>
          <w:szCs w:val="24"/>
          <w:lang w:eastAsia="uk-UA"/>
        </w:rPr>
        <w:t>;</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Унеможливлення протизаконних дій у процесі розпоряджання лісовими і водними ресурсами;</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Проведення організаційно-правових заходів щодо державного регулювання землекористування;</w:t>
      </w:r>
    </w:p>
    <w:p w:rsidR="00836885" w:rsidRPr="00836885" w:rsidRDefault="00836885" w:rsidP="00836885">
      <w:pPr>
        <w:numPr>
          <w:ilvl w:val="0"/>
          <w:numId w:val="4"/>
        </w:numPr>
        <w:tabs>
          <w:tab w:val="left" w:pos="1134"/>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Удосконалення системи поводження з відходами, наближення її до аналогів держав Європейського Союзу.</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Пріоритети співпраці між Україною та ЄС у сфері охорони навколишнього середовища визначені в Угоді про партнерство і співробітництво між Україною і Європейськими Співтовариствами та їх державами-членами, а також в Плані дій Україна-Європейський Союз. </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Аналізуючи зазначені документи на відповідність і сумісність пріоритетам ЄЕА, слід відзначити наступні спільні пріоритети співпраці у сфері охорони навколишнього природного середовища: </w:t>
      </w:r>
    </w:p>
    <w:p w:rsidR="00836885" w:rsidRPr="00836885" w:rsidRDefault="00836885" w:rsidP="00836885">
      <w:pPr>
        <w:numPr>
          <w:ilvl w:val="0"/>
          <w:numId w:val="5"/>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моніторинг рівнів забруднення та оцінка стану навколишнього середовища; спільна система інформації про стан навколишнього середовища;</w:t>
      </w:r>
    </w:p>
    <w:p w:rsidR="00836885" w:rsidRPr="00836885" w:rsidRDefault="00836885" w:rsidP="00836885">
      <w:pPr>
        <w:numPr>
          <w:ilvl w:val="0"/>
          <w:numId w:val="5"/>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боротьба з локальним, регіональним та транскордонним забрудненням атмосферного повітря та води;</w:t>
      </w:r>
    </w:p>
    <w:p w:rsidR="00836885" w:rsidRPr="00836885" w:rsidRDefault="00836885" w:rsidP="00836885">
      <w:pPr>
        <w:numPr>
          <w:ilvl w:val="0"/>
          <w:numId w:val="5"/>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відновлення природного стану навколишнього середовища;</w:t>
      </w:r>
    </w:p>
    <w:p w:rsidR="00836885" w:rsidRPr="00836885" w:rsidRDefault="00836885" w:rsidP="00836885">
      <w:pPr>
        <w:numPr>
          <w:ilvl w:val="0"/>
          <w:numId w:val="5"/>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якість води;</w:t>
      </w:r>
    </w:p>
    <w:p w:rsidR="00836885" w:rsidRPr="00836885" w:rsidRDefault="00836885" w:rsidP="00836885">
      <w:pPr>
        <w:numPr>
          <w:ilvl w:val="0"/>
          <w:numId w:val="5"/>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lastRenderedPageBreak/>
        <w:t>зменшення обсягів, утилізація і безпечне знищення відходів, а також виконання положень Базельської конвенції;</w:t>
      </w:r>
    </w:p>
    <w:p w:rsidR="00836885" w:rsidRPr="00836885" w:rsidRDefault="00836885" w:rsidP="00836885">
      <w:pPr>
        <w:numPr>
          <w:ilvl w:val="0"/>
          <w:numId w:val="5"/>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збереження біологічної різноманітності, територій, що охороняються, а також раціональне використання біологічних ресурсів та управління ними;</w:t>
      </w:r>
    </w:p>
    <w:p w:rsidR="00836885" w:rsidRPr="00836885" w:rsidRDefault="00836885" w:rsidP="00836885">
      <w:pPr>
        <w:numPr>
          <w:ilvl w:val="0"/>
          <w:numId w:val="5"/>
        </w:numPr>
        <w:tabs>
          <w:tab w:val="left" w:pos="993"/>
        </w:tabs>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глобальні кліматичні зміни.</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br/>
        <w:t>На сьогодні Міністерство охорони навколишнього природного середовища України, через брак людських та технічних ресурсів, не спроможне в повному обсязі забезпечувати співробітництво з Європейською екологічною агенцією.</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Так, однією з умов повної участі без права голосу з ЄЕА є визначення відповідних національних інституцій, які приєднуються до інформаційної мережі EIONET. Одна з національних інституцій визначається </w:t>
      </w:r>
      <w:proofErr w:type="spellStart"/>
      <w:r w:rsidRPr="00836885">
        <w:rPr>
          <w:rFonts w:ascii="Times New Roman" w:eastAsia="Times New Roman" w:hAnsi="Times New Roman" w:cs="Times New Roman"/>
          <w:sz w:val="24"/>
          <w:szCs w:val="24"/>
          <w:lang w:eastAsia="uk-UA"/>
        </w:rPr>
        <w:t>“національним</w:t>
      </w:r>
      <w:proofErr w:type="spellEnd"/>
      <w:r w:rsidRPr="00836885">
        <w:rPr>
          <w:rFonts w:ascii="Times New Roman" w:eastAsia="Times New Roman" w:hAnsi="Times New Roman" w:cs="Times New Roman"/>
          <w:sz w:val="24"/>
          <w:szCs w:val="24"/>
          <w:lang w:eastAsia="uk-UA"/>
        </w:rPr>
        <w:t xml:space="preserve"> контактним </w:t>
      </w:r>
      <w:proofErr w:type="spellStart"/>
      <w:r w:rsidRPr="00836885">
        <w:rPr>
          <w:rFonts w:ascii="Times New Roman" w:eastAsia="Times New Roman" w:hAnsi="Times New Roman" w:cs="Times New Roman"/>
          <w:sz w:val="24"/>
          <w:szCs w:val="24"/>
          <w:lang w:eastAsia="uk-UA"/>
        </w:rPr>
        <w:t>пунктом”</w:t>
      </w:r>
      <w:proofErr w:type="spellEnd"/>
      <w:r w:rsidRPr="00836885">
        <w:rPr>
          <w:rFonts w:ascii="Times New Roman" w:eastAsia="Times New Roman" w:hAnsi="Times New Roman" w:cs="Times New Roman"/>
          <w:sz w:val="24"/>
          <w:szCs w:val="24"/>
          <w:lang w:eastAsia="uk-UA"/>
        </w:rPr>
        <w:t>, що координує потоки інформації та передає дані до Агенції та до інших учасників мережі. Агенція може доручати організаціям – учасницям мережі від України виконання певних завдань на основі окремих договорів.</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У разі співробітництва щодо реалізації окремих пріоритетів або заходів ЄЕА всі умови будуть визначені в документі про співпрацю. Однак, стандартними умовами є наявність особи, яка забезпечуватиме зв'язок з агенцією або національного контактного пункту, до завдань яких буде входити: переклад нормативно-правових документів, звітів, урядових рішень на англійську мову для відправлення до секретаріату ЄЕА та переклад з англійської мови робочих документів, звітів ЄЕА та у разі необхідності законодавства ЄС; участь у навчальних заходах ЄЕА; участь в роботі інформаційної мережі EIONET та участь в проведенні консультацій і зустрічей з учасниками зазначеної мережі та інше передбачене в документі про співпрацю.</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Варто зазначити, що на даному етапі важко спрогнозувати інституційні умови та відповідні людські ресурси при можливості співпраці з ЄЕА на нерегулярній основі тобто виконання разових проектів або спільні дії в рамках окремих заходів.</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До компетенції ЄЕА відносяться директиви, більшість яких потрібно буде адаптувати у рамках зобов’язань по Угоді про асоціацію та у рамках створення зони вільної торгівлі між Україною та ЄС. Однак, при умові повної участі без права голосу потрібно буде адаптувати нормативно-правові акти ЄС, які будуть визначені додатком до угоди.</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ЄЕА також проводить інтенсивну міжнародну співпрацю, а також пришвидшує партнерство з сусідами ЄС та інших країн-членів в контексті Політики Сусідства ЄС (EU </w:t>
      </w:r>
      <w:proofErr w:type="spellStart"/>
      <w:r w:rsidRPr="00836885">
        <w:rPr>
          <w:rFonts w:ascii="Times New Roman" w:eastAsia="Times New Roman" w:hAnsi="Times New Roman" w:cs="Times New Roman"/>
          <w:sz w:val="24"/>
          <w:szCs w:val="24"/>
          <w:lang w:eastAsia="uk-UA"/>
        </w:rPr>
        <w:t>Neighbourhood</w:t>
      </w:r>
      <w:proofErr w:type="spellEnd"/>
      <w:r w:rsidRPr="00836885">
        <w:rPr>
          <w:rFonts w:ascii="Times New Roman" w:eastAsia="Times New Roman" w:hAnsi="Times New Roman" w:cs="Times New Roman"/>
          <w:sz w:val="24"/>
          <w:szCs w:val="24"/>
          <w:lang w:eastAsia="uk-UA"/>
        </w:rPr>
        <w:t xml:space="preserve"> </w:t>
      </w:r>
      <w:proofErr w:type="spellStart"/>
      <w:r w:rsidRPr="00836885">
        <w:rPr>
          <w:rFonts w:ascii="Times New Roman" w:eastAsia="Times New Roman" w:hAnsi="Times New Roman" w:cs="Times New Roman"/>
          <w:sz w:val="24"/>
          <w:szCs w:val="24"/>
          <w:lang w:eastAsia="uk-UA"/>
        </w:rPr>
        <w:t>Policy</w:t>
      </w:r>
      <w:proofErr w:type="spellEnd"/>
      <w:r w:rsidRPr="00836885">
        <w:rPr>
          <w:rFonts w:ascii="Times New Roman" w:eastAsia="Times New Roman" w:hAnsi="Times New Roman" w:cs="Times New Roman"/>
          <w:sz w:val="24"/>
          <w:szCs w:val="24"/>
          <w:lang w:eastAsia="uk-UA"/>
        </w:rPr>
        <w:t>).</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Підхід, якому віддає перевагу ЄЕА в регіоні, на який поширюється Європейська політика сусідства, полягає у сприянні співпраці на регіональному рівні. Цей підхід було апробовано раніше і відображено в різноманітних звітах щодо європейського стану довкілля, представлено на міністерських конференціях в рамках процесу </w:t>
      </w:r>
      <w:proofErr w:type="spellStart"/>
      <w:r w:rsidRPr="00836885">
        <w:rPr>
          <w:rFonts w:ascii="Times New Roman" w:eastAsia="Times New Roman" w:hAnsi="Times New Roman" w:cs="Times New Roman"/>
          <w:sz w:val="24"/>
          <w:szCs w:val="24"/>
          <w:lang w:eastAsia="uk-UA"/>
        </w:rPr>
        <w:t>“Довкілля</w:t>
      </w:r>
      <w:proofErr w:type="spellEnd"/>
      <w:r w:rsidRPr="00836885">
        <w:rPr>
          <w:rFonts w:ascii="Times New Roman" w:eastAsia="Times New Roman" w:hAnsi="Times New Roman" w:cs="Times New Roman"/>
          <w:sz w:val="24"/>
          <w:szCs w:val="24"/>
          <w:lang w:eastAsia="uk-UA"/>
        </w:rPr>
        <w:t xml:space="preserve"> для </w:t>
      </w:r>
      <w:proofErr w:type="spellStart"/>
      <w:r w:rsidRPr="00836885">
        <w:rPr>
          <w:rFonts w:ascii="Times New Roman" w:eastAsia="Times New Roman" w:hAnsi="Times New Roman" w:cs="Times New Roman"/>
          <w:sz w:val="24"/>
          <w:szCs w:val="24"/>
          <w:lang w:eastAsia="uk-UA"/>
        </w:rPr>
        <w:t>Європи”</w:t>
      </w:r>
      <w:proofErr w:type="spellEnd"/>
      <w:r w:rsidRPr="00836885">
        <w:rPr>
          <w:rFonts w:ascii="Times New Roman" w:eastAsia="Times New Roman" w:hAnsi="Times New Roman" w:cs="Times New Roman"/>
          <w:sz w:val="24"/>
          <w:szCs w:val="24"/>
          <w:lang w:eastAsia="uk-UA"/>
        </w:rPr>
        <w:t>, ініційованого в рамках Європейської економічної комісії ООН. </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Варто зазначити, що </w:t>
      </w:r>
      <w:proofErr w:type="spellStart"/>
      <w:r w:rsidRPr="00836885">
        <w:rPr>
          <w:rFonts w:ascii="Times New Roman" w:eastAsia="Times New Roman" w:hAnsi="Times New Roman" w:cs="Times New Roman"/>
          <w:sz w:val="24"/>
          <w:szCs w:val="24"/>
          <w:lang w:eastAsia="uk-UA"/>
        </w:rPr>
        <w:t>Мінприроди</w:t>
      </w:r>
      <w:proofErr w:type="spellEnd"/>
      <w:r w:rsidRPr="00836885">
        <w:rPr>
          <w:rFonts w:ascii="Times New Roman" w:eastAsia="Times New Roman" w:hAnsi="Times New Roman" w:cs="Times New Roman"/>
          <w:sz w:val="24"/>
          <w:szCs w:val="24"/>
          <w:lang w:eastAsia="uk-UA"/>
        </w:rPr>
        <w:t xml:space="preserve"> опрацьовує можливість участі України у таких проектах ЄЕА:</w:t>
      </w:r>
    </w:p>
    <w:p w:rsidR="00836885" w:rsidRPr="00836885" w:rsidRDefault="00836885" w:rsidP="00836885">
      <w:pPr>
        <w:numPr>
          <w:ilvl w:val="0"/>
          <w:numId w:val="6"/>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Вивчення земляного покрову та екосистеми України і створення на підставі фотоматеріалів, зроблених із супутників, інтегрованої бази даних з використанням земельних, водних, лісових та інших ресурсів в ретроспективі з 1970-х по 2006 роки;</w:t>
      </w:r>
    </w:p>
    <w:p w:rsidR="00836885" w:rsidRPr="00836885" w:rsidRDefault="00836885" w:rsidP="00836885">
      <w:pPr>
        <w:numPr>
          <w:ilvl w:val="0"/>
          <w:numId w:val="6"/>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Вивчення у ретроспективному плані стану і перспектив розвитку водних ресурсів України у т.ч. у контексті забезпечення потреб її населення та сільського господарства в умовах зміни клімату;</w:t>
      </w:r>
    </w:p>
    <w:p w:rsidR="00836885" w:rsidRPr="00836885" w:rsidRDefault="00836885" w:rsidP="00836885">
      <w:pPr>
        <w:numPr>
          <w:ilvl w:val="0"/>
          <w:numId w:val="6"/>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Узгодження в рамках ЄС головних показників (індикаторів) стану екосистеми України з метою запровадження європейських стандартів екологічних показників та оцінки ситуації;</w:t>
      </w:r>
    </w:p>
    <w:p w:rsidR="00836885" w:rsidRPr="00836885" w:rsidRDefault="00836885" w:rsidP="00836885">
      <w:pPr>
        <w:numPr>
          <w:ilvl w:val="0"/>
          <w:numId w:val="6"/>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Підготовка україномовного варіанту «Тлумачного словника екологічної термінології».</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Крім цього, з метою підготовки зазначених проектів та відповідно до підходів ЄЕА є можливість використати програми технічної допомоги ЄС TAIEX та TWINNING для проходження стажування українських фахівців. </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val="ru-RU" w:eastAsia="uk-UA"/>
        </w:rPr>
      </w:pPr>
      <w:r w:rsidRPr="00836885">
        <w:rPr>
          <w:rFonts w:ascii="Times New Roman" w:eastAsia="Times New Roman" w:hAnsi="Times New Roman" w:cs="Times New Roman"/>
          <w:sz w:val="24"/>
          <w:szCs w:val="24"/>
          <w:lang w:eastAsia="uk-UA"/>
        </w:rPr>
        <w:t xml:space="preserve">Однак, остаточний висновок щодо форми участі України в роботі Європейської екологічної агенції </w:t>
      </w:r>
      <w:proofErr w:type="spellStart"/>
      <w:r w:rsidRPr="00836885">
        <w:rPr>
          <w:rFonts w:ascii="Times New Roman" w:eastAsia="Times New Roman" w:hAnsi="Times New Roman" w:cs="Times New Roman"/>
          <w:sz w:val="24"/>
          <w:szCs w:val="24"/>
          <w:lang w:eastAsia="uk-UA"/>
        </w:rPr>
        <w:t>Мінприроди</w:t>
      </w:r>
      <w:proofErr w:type="spellEnd"/>
      <w:r w:rsidRPr="00836885">
        <w:rPr>
          <w:rFonts w:ascii="Times New Roman" w:eastAsia="Times New Roman" w:hAnsi="Times New Roman" w:cs="Times New Roman"/>
          <w:sz w:val="24"/>
          <w:szCs w:val="24"/>
          <w:lang w:eastAsia="uk-UA"/>
        </w:rPr>
        <w:t xml:space="preserve"> зможе надати після отримання відповіді від Секретаріату ЄЕА на запит </w:t>
      </w:r>
      <w:proofErr w:type="spellStart"/>
      <w:r w:rsidRPr="00836885">
        <w:rPr>
          <w:rFonts w:ascii="Times New Roman" w:eastAsia="Times New Roman" w:hAnsi="Times New Roman" w:cs="Times New Roman"/>
          <w:sz w:val="24"/>
          <w:szCs w:val="24"/>
          <w:lang w:eastAsia="uk-UA"/>
        </w:rPr>
        <w:t>Мінприроди</w:t>
      </w:r>
      <w:proofErr w:type="spellEnd"/>
      <w:r w:rsidRPr="00836885">
        <w:rPr>
          <w:rFonts w:ascii="Times New Roman" w:eastAsia="Times New Roman" w:hAnsi="Times New Roman" w:cs="Times New Roman"/>
          <w:sz w:val="24"/>
          <w:szCs w:val="24"/>
          <w:lang w:eastAsia="uk-UA"/>
        </w:rPr>
        <w:t xml:space="preserve"> щодо можливої форми участі України, зокрема можливих заходів в рамках подальшого співробітництва, фінансових внесків та інших витрат. Зазначений запит було передано до МЗС України листом від 12.11.2008 № 15604/18/10-08 для подальшої передачі до Секретаріату ЄEA.</w:t>
      </w:r>
    </w:p>
    <w:p w:rsidR="00836885" w:rsidRPr="00836885" w:rsidRDefault="00836885">
      <w:pPr>
        <w:rPr>
          <w:rFonts w:ascii="Times New Roman" w:eastAsia="Times New Roman" w:hAnsi="Times New Roman" w:cs="Times New Roman"/>
          <w:sz w:val="24"/>
          <w:szCs w:val="24"/>
          <w:lang w:val="ru-RU" w:eastAsia="uk-UA"/>
        </w:rPr>
      </w:pPr>
      <w:r w:rsidRPr="00836885">
        <w:rPr>
          <w:rFonts w:ascii="Times New Roman" w:eastAsia="Times New Roman" w:hAnsi="Times New Roman" w:cs="Times New Roman"/>
          <w:sz w:val="24"/>
          <w:szCs w:val="24"/>
          <w:lang w:val="ru-RU" w:eastAsia="uk-UA"/>
        </w:rPr>
        <w:br w:type="page"/>
      </w:r>
    </w:p>
    <w:p w:rsidR="00836885" w:rsidRPr="00836885" w:rsidRDefault="00836885" w:rsidP="00836885">
      <w:pPr>
        <w:spacing w:after="0" w:line="240" w:lineRule="auto"/>
        <w:ind w:firstLine="709"/>
        <w:jc w:val="center"/>
        <w:outlineLvl w:val="0"/>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lastRenderedPageBreak/>
        <w:t>ЄВРОПЕЙСЬКИЙ ІНВЕСТИЦІЙНИЙ БАНК</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З 2004 року Україна розпочала співпрацю з Європейським інвестиційним банком, направлену на отримання можливості залучення в економіку України довгострокових фінансових ресурсів банку для реалізації важливих інфраструктурних, енергетичних, природоохоронних та інших інвестиційних проектів загальнодержавного значення.</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i/>
          <w:iCs/>
          <w:sz w:val="24"/>
          <w:szCs w:val="24"/>
          <w:lang w:eastAsia="uk-UA"/>
        </w:rPr>
        <w:t>Довідка: Європейський інвестиційний банк (далі – ЄІБ) створено відповідно до договору про створення Європейського економічного співтовариства від 25 березня 1957 року, підписаного у Римі країнами-засновниками, серед яких: Бельгія, Данія, ФРН, Греція, Іспанія, Франція, Ірландія, Італія, Люксембург, Нідерланди, Португалія, Великобританія і Північна Ірландія. Згідно із Статутом, ЄІБ є юридичною особою, його завдання полягає в наданні кредитів для реалізації інвестиційних проектів, залучаючи необхідні фінансові ресурси на ринку капіталу та використовуючи власні ресурси.</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14 червня 2005 року в Люксембурзі укладено Рамкову угоду між Україною та Європейським інвестиційним банком, положеннями якої передбачено, що Банк може відповідно до Угоди здійснювати на території України діяльність, передбачену Статутом Банку, в тому числі позичання коштів згідно із законодавством України використовуючи усі дозволені ним інструменти, а також володіння, використання та розпорядження такими коштами та ведення рахунків у будь-якій валюті. Також Банк буде користуватися щодо своєї діяльності на території України режимом, що надається міжнародним фінансовим організаціям.</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Після ратифікації Верховною Радою України Законом України від 07.02.2006 № 3292- ІV Рамкової угоди між Україною та ЄІБ, яка була підписана 14.04.2005 в Люксембурзі, та завершення юридичних процедур щодо вступу її в силу (08.04.2006), міністерствами та іншими органами виконавчої влади здійснюється підготовка пропозицій щодо ініціювання спільних з ЄІБ проектів.</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ЄІБ надає позики і гарантії для фінансування проектів у пріоритетних секторах економіки.</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b/>
          <w:bCs/>
          <w:sz w:val="24"/>
          <w:szCs w:val="24"/>
          <w:lang w:eastAsia="uk-UA"/>
        </w:rPr>
        <w:t>Співпраця ЄІБ у секторі охорони навколишнього природного середовища фокусується на таких питаннях:</w:t>
      </w:r>
    </w:p>
    <w:p w:rsidR="00836885" w:rsidRPr="00836885" w:rsidRDefault="00836885" w:rsidP="00836885">
      <w:pPr>
        <w:numPr>
          <w:ilvl w:val="0"/>
          <w:numId w:val="7"/>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покращення якості життя в урбанізованому середовищі, а саме транспортні проекти;</w:t>
      </w:r>
    </w:p>
    <w:p w:rsidR="00836885" w:rsidRPr="00836885" w:rsidRDefault="00836885" w:rsidP="00836885">
      <w:pPr>
        <w:numPr>
          <w:ilvl w:val="0"/>
          <w:numId w:val="7"/>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питання охорони навколишнього природного середовища та здоров’я людей (наприклад: зменшення індустріальних забруднень, забезпечення водою та очистка води);</w:t>
      </w:r>
    </w:p>
    <w:p w:rsidR="00836885" w:rsidRPr="00836885" w:rsidRDefault="00836885" w:rsidP="00836885">
      <w:pPr>
        <w:numPr>
          <w:ilvl w:val="0"/>
          <w:numId w:val="7"/>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питання зміни клімату, включаючи </w:t>
      </w:r>
      <w:proofErr w:type="spellStart"/>
      <w:r w:rsidRPr="00836885">
        <w:rPr>
          <w:rFonts w:ascii="Times New Roman" w:eastAsia="Times New Roman" w:hAnsi="Times New Roman" w:cs="Times New Roman"/>
          <w:sz w:val="24"/>
          <w:szCs w:val="24"/>
          <w:lang w:eastAsia="uk-UA"/>
        </w:rPr>
        <w:t>енергоефективність</w:t>
      </w:r>
      <w:proofErr w:type="spellEnd"/>
      <w:r w:rsidRPr="00836885">
        <w:rPr>
          <w:rFonts w:ascii="Times New Roman" w:eastAsia="Times New Roman" w:hAnsi="Times New Roman" w:cs="Times New Roman"/>
          <w:sz w:val="24"/>
          <w:szCs w:val="24"/>
          <w:lang w:eastAsia="uk-UA"/>
        </w:rPr>
        <w:t xml:space="preserve"> та відновлювану енергію;</w:t>
      </w:r>
    </w:p>
    <w:p w:rsidR="00836885" w:rsidRPr="00836885" w:rsidRDefault="00836885" w:rsidP="00836885">
      <w:pPr>
        <w:numPr>
          <w:ilvl w:val="0"/>
          <w:numId w:val="7"/>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охорона рослинного та тваринного світу;</w:t>
      </w:r>
    </w:p>
    <w:p w:rsidR="00836885" w:rsidRPr="00836885" w:rsidRDefault="00836885" w:rsidP="00836885">
      <w:pPr>
        <w:numPr>
          <w:ilvl w:val="0"/>
          <w:numId w:val="7"/>
        </w:numPr>
        <w:spacing w:after="0" w:line="240" w:lineRule="auto"/>
        <w:ind w:left="0"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охорона природних ресурсів та управління відходами</w:t>
      </w:r>
    </w:p>
    <w:p w:rsidR="00836885" w:rsidRPr="00836885" w:rsidRDefault="00836885" w:rsidP="00836885">
      <w:pPr>
        <w:numPr>
          <w:ilvl w:val="0"/>
          <w:numId w:val="7"/>
        </w:numPr>
        <w:spacing w:after="0" w:line="240" w:lineRule="auto"/>
        <w:ind w:left="0" w:firstLine="709"/>
        <w:jc w:val="both"/>
        <w:textAlignment w:val="baseline"/>
        <w:rPr>
          <w:rFonts w:ascii="Times New Roman" w:eastAsia="Times New Roman" w:hAnsi="Times New Roman" w:cs="Times New Roman"/>
          <w:sz w:val="24"/>
          <w:szCs w:val="24"/>
          <w:lang w:eastAsia="uk-UA"/>
        </w:rPr>
      </w:pP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ЄІБ надає </w:t>
      </w:r>
      <w:r w:rsidRPr="00836885">
        <w:rPr>
          <w:rFonts w:ascii="Times New Roman" w:eastAsia="Times New Roman" w:hAnsi="Times New Roman" w:cs="Times New Roman"/>
          <w:b/>
          <w:bCs/>
          <w:sz w:val="24"/>
          <w:szCs w:val="24"/>
          <w:lang w:eastAsia="uk-UA"/>
        </w:rPr>
        <w:t>три основні види послуг </w:t>
      </w:r>
      <w:r w:rsidRPr="00836885">
        <w:rPr>
          <w:rFonts w:ascii="Times New Roman" w:eastAsia="Times New Roman" w:hAnsi="Times New Roman" w:cs="Times New Roman"/>
          <w:sz w:val="24"/>
          <w:szCs w:val="24"/>
          <w:lang w:eastAsia="uk-UA"/>
        </w:rPr>
        <w:t>своїм клієнтам:</w:t>
      </w:r>
    </w:p>
    <w:p w:rsidR="00836885" w:rsidRPr="00836885" w:rsidRDefault="00836885" w:rsidP="00836885">
      <w:pPr>
        <w:numPr>
          <w:ilvl w:val="0"/>
          <w:numId w:val="8"/>
        </w:num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b/>
          <w:bCs/>
          <w:sz w:val="24"/>
          <w:szCs w:val="24"/>
          <w:lang w:eastAsia="uk-UA"/>
        </w:rPr>
        <w:t>Кредити:</w:t>
      </w:r>
      <w:r w:rsidRPr="00836885">
        <w:rPr>
          <w:rFonts w:ascii="Times New Roman" w:eastAsia="Times New Roman" w:hAnsi="Times New Roman" w:cs="Times New Roman"/>
          <w:sz w:val="24"/>
          <w:szCs w:val="24"/>
          <w:bdr w:val="none" w:sz="0" w:space="0" w:color="auto" w:frame="1"/>
          <w:lang w:eastAsia="uk-UA"/>
        </w:rPr>
        <w:t> надаються під життєздатні проекти як у державному так і в приватному секторі. Партнерами виступають як великі корпорації так і місцеві органи влади, а також малі та середні підприємства.</w:t>
      </w:r>
    </w:p>
    <w:p w:rsidR="00836885" w:rsidRPr="00836885" w:rsidRDefault="00836885" w:rsidP="00836885">
      <w:pPr>
        <w:numPr>
          <w:ilvl w:val="0"/>
          <w:numId w:val="8"/>
        </w:num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b/>
          <w:bCs/>
          <w:sz w:val="24"/>
          <w:szCs w:val="24"/>
          <w:lang w:eastAsia="uk-UA"/>
        </w:rPr>
        <w:t>Технічна допомога:</w:t>
      </w:r>
      <w:r w:rsidRPr="00836885">
        <w:rPr>
          <w:rFonts w:ascii="Times New Roman" w:eastAsia="Times New Roman" w:hAnsi="Times New Roman" w:cs="Times New Roman"/>
          <w:sz w:val="24"/>
          <w:szCs w:val="24"/>
          <w:bdr w:val="none" w:sz="0" w:space="0" w:color="auto" w:frame="1"/>
          <w:lang w:eastAsia="uk-UA"/>
        </w:rPr>
        <w:t> впроваджується командою експертів-економістів, інженерів, спеціалістів у секторі.</w:t>
      </w:r>
    </w:p>
    <w:p w:rsidR="00836885" w:rsidRPr="00836885" w:rsidRDefault="00836885" w:rsidP="00836885">
      <w:pPr>
        <w:numPr>
          <w:ilvl w:val="0"/>
          <w:numId w:val="8"/>
        </w:num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b/>
          <w:bCs/>
          <w:sz w:val="24"/>
          <w:szCs w:val="24"/>
          <w:lang w:eastAsia="uk-UA"/>
        </w:rPr>
        <w:t>Гарантії:</w:t>
      </w:r>
      <w:r w:rsidRPr="00836885">
        <w:rPr>
          <w:rFonts w:ascii="Times New Roman" w:eastAsia="Times New Roman" w:hAnsi="Times New Roman" w:cs="Times New Roman"/>
          <w:sz w:val="24"/>
          <w:szCs w:val="24"/>
          <w:bdr w:val="none" w:sz="0" w:space="0" w:color="auto" w:frame="1"/>
          <w:lang w:eastAsia="uk-UA"/>
        </w:rPr>
        <w:t> банків, лізингових компаній, фондів, інше.</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Банком наголошено, що проекти в Україні будуть розглядатися, головним чином, в таких секторах, як: транспорт, телекомунікації, енергетична інфраструктура (на пріоритетних напрямах транс’європейських мереж та європейських транспортних коридорів), </w:t>
      </w:r>
      <w:r w:rsidRPr="00836885">
        <w:rPr>
          <w:rFonts w:ascii="Times New Roman" w:eastAsia="Times New Roman" w:hAnsi="Times New Roman" w:cs="Times New Roman"/>
          <w:b/>
          <w:bCs/>
          <w:sz w:val="24"/>
          <w:szCs w:val="24"/>
          <w:lang w:eastAsia="uk-UA"/>
        </w:rPr>
        <w:t>захист довкілля</w:t>
      </w:r>
      <w:r w:rsidRPr="00836885">
        <w:rPr>
          <w:rFonts w:ascii="Times New Roman" w:eastAsia="Times New Roman" w:hAnsi="Times New Roman" w:cs="Times New Roman"/>
          <w:sz w:val="24"/>
          <w:szCs w:val="24"/>
          <w:lang w:eastAsia="uk-UA"/>
        </w:rPr>
        <w:t>.</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Фінансування проектів до 50% загальної вартості може здійснюватися Банком при співпраці і </w:t>
      </w:r>
      <w:proofErr w:type="spellStart"/>
      <w:r w:rsidRPr="00836885">
        <w:rPr>
          <w:rFonts w:ascii="Times New Roman" w:eastAsia="Times New Roman" w:hAnsi="Times New Roman" w:cs="Times New Roman"/>
          <w:sz w:val="24"/>
          <w:szCs w:val="24"/>
          <w:lang w:eastAsia="uk-UA"/>
        </w:rPr>
        <w:t>співфінансуванні</w:t>
      </w:r>
      <w:proofErr w:type="spellEnd"/>
      <w:r w:rsidRPr="00836885">
        <w:rPr>
          <w:rFonts w:ascii="Times New Roman" w:eastAsia="Times New Roman" w:hAnsi="Times New Roman" w:cs="Times New Roman"/>
          <w:sz w:val="24"/>
          <w:szCs w:val="24"/>
          <w:lang w:eastAsia="uk-UA"/>
        </w:rPr>
        <w:t xml:space="preserve"> з іншими міжнародними фінансовими організаціями, зокрема з ЄБРР.</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Методи роботи Банку в Україні передбачають надання коштів державним органам та приватним компаніям на проекти вартістю понад 25 млн. євро з/або без посередництва банків, непряме фінансування – глобальні позики під проекти малого та середнього масштабу (до 25 млн. євро) через систему банків-партнерів або інші механізми фінансування проектів.</w:t>
      </w:r>
    </w:p>
    <w:p w:rsidR="00636D99" w:rsidRPr="00836885" w:rsidRDefault="00636D99" w:rsidP="00836885">
      <w:pPr>
        <w:spacing w:after="0" w:line="240" w:lineRule="auto"/>
        <w:ind w:firstLine="709"/>
        <w:jc w:val="both"/>
        <w:rPr>
          <w:rFonts w:ascii="Times New Roman" w:hAnsi="Times New Roman" w:cs="Times New Roman"/>
          <w:sz w:val="24"/>
          <w:szCs w:val="24"/>
          <w:lang w:val="ru-RU"/>
        </w:rPr>
      </w:pPr>
    </w:p>
    <w:p w:rsidR="00836885" w:rsidRPr="00836885" w:rsidRDefault="00836885">
      <w:pPr>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br w:type="page"/>
      </w:r>
    </w:p>
    <w:p w:rsidR="00836885" w:rsidRPr="00836885" w:rsidRDefault="00836885" w:rsidP="00836885">
      <w:pPr>
        <w:spacing w:after="0" w:line="240" w:lineRule="auto"/>
        <w:ind w:firstLine="709"/>
        <w:jc w:val="center"/>
        <w:outlineLvl w:val="0"/>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lastRenderedPageBreak/>
        <w:t>СВІТОВИЙ БАНК</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b/>
          <w:bCs/>
          <w:sz w:val="24"/>
          <w:szCs w:val="24"/>
          <w:lang w:eastAsia="uk-UA"/>
        </w:rPr>
        <w:t>Світовий банк,</w:t>
      </w:r>
      <w:r w:rsidRPr="00836885">
        <w:rPr>
          <w:rFonts w:ascii="Times New Roman" w:eastAsia="Times New Roman" w:hAnsi="Times New Roman" w:cs="Times New Roman"/>
          <w:sz w:val="24"/>
          <w:szCs w:val="24"/>
          <w:lang w:eastAsia="uk-UA"/>
        </w:rPr>
        <w:t xml:space="preserve"> заснований в 1944 році, є однією з найбільших у світі організацій, що надають допомогу з метою розвитку. Банк, що надав у 2002 фінансовому році країнам-клієнтам позики на загальну суму 19,5 </w:t>
      </w:r>
      <w:proofErr w:type="spellStart"/>
      <w:r w:rsidRPr="00836885">
        <w:rPr>
          <w:rFonts w:ascii="Times New Roman" w:eastAsia="Times New Roman" w:hAnsi="Times New Roman" w:cs="Times New Roman"/>
          <w:sz w:val="24"/>
          <w:szCs w:val="24"/>
          <w:lang w:eastAsia="uk-UA"/>
        </w:rPr>
        <w:t>млрд</w:t>
      </w:r>
      <w:proofErr w:type="spellEnd"/>
      <w:r w:rsidRPr="00836885">
        <w:rPr>
          <w:rFonts w:ascii="Times New Roman" w:eastAsia="Times New Roman" w:hAnsi="Times New Roman" w:cs="Times New Roman"/>
          <w:sz w:val="24"/>
          <w:szCs w:val="24"/>
          <w:lang w:eastAsia="uk-UA"/>
        </w:rPr>
        <w:t xml:space="preserve"> дол. США, у цей час здійснює свою діяльність більш ніж в 100 країнах, що розвиваються, роблячи фінансову й консультаційну допомогу з метою підвищення рівня життя й поліпшення життя найбіднішого населення. Банк розробляє стратегії допомоги для кожної зі своїх країн-клієнтів у співробітництві з державними органами, неурядовими організаціями й приватним сектором. Представництва Банку в різних країнах світу займаються реалізацією його програм, підтримують зв'язок з урядом і цивільним суспільством і сприяють більше глибокому розумінню проблем розвитку.</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Світовий банк відрізняється від Групи Світового банку тим, що до Світового банку входять лише дві інституції – Міжнародний банк реконструкції та розвитку (МБРР) та Міжнародна асоціація розвитку (МАР), в той час як до Групи Світового банку входять, крім двох названих, ще три інституції: Міжнародна фінансова корпорація (МФК), Багатостороння агенція з гарантій інвестицій (БАГІ) та Міжнародний центр з урегулювання інвестиційних спорів (МЦУІС).</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Однією з цілей Світового банку є заохочення інвестування країн-членів в інші країни, особливо в такі, що розвиваються. Проте соціально-політична нестабільність в деяких регіонах робить інвестування там ризикованим. Щоб убезпечити своїх учасників від фінансових втрат, Світовий банк формує в 1988 р. організацію, яка б гарантувала відшкодування можливих втрат від некомерційних ризиків, – Багатосторонню агенцію з гарантій інвестицій. З проблемами інвестування пов'язано утворення в 1966 р. Міжнародного центру з урегулювання інвестиційних спорів. Таким чином, сформувалася група Світового банку із п'яти організацій.</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До Світового Банку Україна вступила в 1992 році (водночас із вступом до МВФ); вона є членом всіх його структур – МБРР, МФК, МАР і БАГІ. Серед міжнародних кредитно-фінансових організацій Міжнародний банк реконструкції та розвитку є другим, після МВФ, кредитором України; його частка становить 32,8% всіх позичок. При цьому спостерігається тенденція зростання частки кредитів МБРР за рахунок зменшення частки МВФ.</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Зі цільовим призначенням кредити МБРР поділяються на 4 групи: інституційні; реабілітаційні; на розвиток певної галузі економіки; на структурну перебудову галузей економіки.</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 xml:space="preserve">Інституційні кредити спрямовані на реформи та розвиток державного управляння фінансами, економікою. Реабілітаційна позика має </w:t>
      </w:r>
      <w:proofErr w:type="spellStart"/>
      <w:r w:rsidRPr="00836885">
        <w:rPr>
          <w:rFonts w:ascii="Times New Roman" w:eastAsia="Times New Roman" w:hAnsi="Times New Roman" w:cs="Times New Roman"/>
          <w:sz w:val="24"/>
          <w:szCs w:val="24"/>
          <w:bdr w:val="none" w:sz="0" w:space="0" w:color="auto" w:frame="1"/>
          <w:lang w:eastAsia="uk-UA"/>
        </w:rPr>
        <w:t>інвестиціний</w:t>
      </w:r>
      <w:proofErr w:type="spellEnd"/>
      <w:r w:rsidRPr="00836885">
        <w:rPr>
          <w:rFonts w:ascii="Times New Roman" w:eastAsia="Times New Roman" w:hAnsi="Times New Roman" w:cs="Times New Roman"/>
          <w:sz w:val="24"/>
          <w:szCs w:val="24"/>
          <w:bdr w:val="none" w:sz="0" w:space="0" w:color="auto" w:frame="1"/>
          <w:lang w:eastAsia="uk-UA"/>
        </w:rPr>
        <w:t xml:space="preserve"> характер. Кошти, що надходять від Світового Банку, на відміну від коштів МВФ, використовуються більш різноманітно. Вони спрямовані не тільки на погашення дефіциту бюджету й платіжного балансу, але й на реалізацію довгострокових інвестиційних проектів, підтримку українських підприємств, страхування імпорту.</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Позики Світового Банку для України вигідніші, ніж позики з інших джерел, оскільки умови надання ним кредиту більш сприятливі. За класифікацією СБ Україна належить до III категорії країн (рівень доходів нижче середнього), тому термін погашення кредитів продовжується до 20 років з пільговим періодом 5 років. Відсотки за кредит сплачуються за плаваючою ставкою і становлять близько 6,5% річних.</w:t>
      </w:r>
    </w:p>
    <w:p w:rsidR="00836885" w:rsidRDefault="00836885" w:rsidP="00836885">
      <w:pPr>
        <w:spacing w:after="0" w:line="240" w:lineRule="auto"/>
        <w:ind w:firstLine="709"/>
        <w:jc w:val="both"/>
        <w:rPr>
          <w:rFonts w:ascii="Times New Roman" w:hAnsi="Times New Roman" w:cs="Times New Roman"/>
          <w:sz w:val="24"/>
          <w:szCs w:val="24"/>
          <w:lang w:val="ru-RU"/>
        </w:rPr>
      </w:pPr>
    </w:p>
    <w:p w:rsidR="00836885" w:rsidRPr="00836885" w:rsidRDefault="00836885" w:rsidP="00836885">
      <w:pPr>
        <w:spacing w:after="0" w:line="240" w:lineRule="auto"/>
        <w:ind w:firstLine="709"/>
        <w:jc w:val="both"/>
        <w:rPr>
          <w:rFonts w:ascii="Times New Roman" w:hAnsi="Times New Roman" w:cs="Times New Roman"/>
          <w:sz w:val="24"/>
          <w:szCs w:val="24"/>
          <w:lang w:val="ru-RU"/>
        </w:rPr>
      </w:pPr>
    </w:p>
    <w:p w:rsidR="00836885" w:rsidRPr="00836885" w:rsidRDefault="00836885" w:rsidP="00836885">
      <w:pPr>
        <w:spacing w:after="0" w:line="240" w:lineRule="auto"/>
        <w:ind w:firstLine="709"/>
        <w:jc w:val="center"/>
        <w:outlineLvl w:val="0"/>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t>ЄВРОПЕЙСЬКИЙ БАНК РЕКОНСТРУКЦІЇ ТА РОЗВИТКУ (ЄВРОБАНК, ЄБРР)</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b/>
          <w:bCs/>
          <w:sz w:val="24"/>
          <w:szCs w:val="24"/>
          <w:lang w:eastAsia="uk-UA"/>
        </w:rPr>
        <w:t>Європейський банк реконструкції та розвитку (Євробанк, ЄБРР)</w:t>
      </w:r>
      <w:r w:rsidRPr="00836885">
        <w:rPr>
          <w:rFonts w:ascii="Times New Roman" w:eastAsia="Times New Roman" w:hAnsi="Times New Roman" w:cs="Times New Roman"/>
          <w:sz w:val="24"/>
          <w:szCs w:val="24"/>
          <w:lang w:eastAsia="uk-UA"/>
        </w:rPr>
        <w:t> — міжнародний фінансово-кредитний інститут, який надає допомогу країнам від Центральної Європи до Центральної Азії для проведення ринкових реформ, активного інтегрування економік цих країн у міжнародні господарські зв'язки. Створений в 1991 році (штаб-квартира — в Лондоні).</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Акціонерами Банку є 61 держава, Європейська комісія та Європейський інвестиційний банк. Капітал — 20 млрд. євро. Країнам ЄЕС належить 55,12% капіталу, США — 10%, Японії — 8,52%, країнам операцій — 11,78% (в тому числі Україні — 0,8%), іншим акціонерам — 14,58%. Кожна країна-член представлена у Раді керуючих та Раді директорів Банку. Збори акціонерів проводяться щорічно у квітні-травні почергово у Лондоні (у непарні роки) та в одній із країн-членів банку (у парні роки). Сьомі щорічні збори (1998 р.) відбулися у Києві. В Україні ЄБРР має дипломатичний статус і статус привілейованого кредитора. Усі повноваження щодо управління ЄБРР покладені на Раду керуючих на чолі з Головою і двома заступниками. Вона складається з міністрів фінансів або керуючих центральними банками країн-учасниць і представників від ЄС і ЄІБ. Рада керуючих делегує ряд своїх повноважень Раді директорів, яка відповідає за поточну діяльність Банку.</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lastRenderedPageBreak/>
        <w:t>До Ради директорів входять Президент, три віце-президенти і 23 директори. Кожен віце-президент координує діяльність тієї чи іншої територіальної групи. Україна, разом із Румунією, Боснією і Герцеговиною та Хорватією, входить до складу групи Південної і Східної Європи (BGCEE). Діяльністю територіальних груп керує Банківський департамент.</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ЄБРР працює лише на комерційних засадах. На відміну від МВФ, надає тільки цільові кредити під конкретні проекти приватним і державним структурам на потреби розвитку економіки. 60% позичкових засобів спрямовуються у приватний і 40% — у державний сектор. Крім цільових кредитів ЄБРР здійснює прямі інвестиції, а також надає технічну допомогу (консультації, курси навчання банкірів та менеджерів, допомога в організації систем розподілу продовольства). Спеціальних коштів для надання технічної допомоги ЄБРР не має, а залучає інші ресурси, в тому числі із створених у країнах ЄС спеціальних фондів, міжнародних організацій.</w:t>
      </w:r>
    </w:p>
    <w:p w:rsidR="00836885" w:rsidRDefault="00836885" w:rsidP="00836885">
      <w:pPr>
        <w:spacing w:after="0" w:line="240" w:lineRule="auto"/>
        <w:ind w:firstLine="709"/>
        <w:jc w:val="both"/>
        <w:rPr>
          <w:rFonts w:ascii="Times New Roman" w:hAnsi="Times New Roman" w:cs="Times New Roman"/>
          <w:sz w:val="24"/>
          <w:szCs w:val="24"/>
          <w:lang w:val="ru-RU"/>
        </w:rPr>
      </w:pPr>
    </w:p>
    <w:p w:rsidR="00836885" w:rsidRPr="00836885" w:rsidRDefault="00836885" w:rsidP="00836885">
      <w:pPr>
        <w:spacing w:after="0" w:line="240" w:lineRule="auto"/>
        <w:ind w:firstLine="709"/>
        <w:jc w:val="both"/>
        <w:rPr>
          <w:rFonts w:ascii="Times New Roman" w:hAnsi="Times New Roman" w:cs="Times New Roman"/>
          <w:sz w:val="24"/>
          <w:szCs w:val="24"/>
          <w:lang w:val="ru-RU"/>
        </w:rPr>
      </w:pPr>
    </w:p>
    <w:p w:rsidR="00836885" w:rsidRPr="00836885" w:rsidRDefault="00836885" w:rsidP="00836885">
      <w:pPr>
        <w:spacing w:after="0" w:line="240" w:lineRule="auto"/>
        <w:ind w:firstLine="709"/>
        <w:jc w:val="center"/>
        <w:outlineLvl w:val="0"/>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t>ПРОГРАМА РОЗВИТКУ ООН (ПРООН)</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ПРООН (UNDP) – орган оперативної діяльності ООН, є найбільшим міжнародним каналом надання багатосторонньої технічної та передінвестиційної допомоги країнам. Діяльність ООН в Україні розпочалась 6 жовтня 1992 року після укладення Угоди між Урядом України та ООН про відкриття Представництва ООН в Києві. 18 червня 1993 року було підписано </w:t>
      </w:r>
      <w:r w:rsidRPr="00836885">
        <w:rPr>
          <w:rFonts w:ascii="Times New Roman" w:eastAsia="Times New Roman" w:hAnsi="Times New Roman" w:cs="Times New Roman"/>
          <w:b/>
          <w:bCs/>
          <w:sz w:val="24"/>
          <w:szCs w:val="24"/>
          <w:lang w:eastAsia="uk-UA"/>
        </w:rPr>
        <w:t>Угоду між Урядом України та Програмою розвитку ООН (ПРООН)</w:t>
      </w:r>
      <w:r w:rsidRPr="00836885">
        <w:rPr>
          <w:rFonts w:ascii="Times New Roman" w:eastAsia="Times New Roman" w:hAnsi="Times New Roman" w:cs="Times New Roman"/>
          <w:sz w:val="24"/>
          <w:szCs w:val="24"/>
          <w:lang w:eastAsia="uk-UA"/>
        </w:rPr>
        <w:t>, яка регламентує діяльність Представництва ПРООН в Україні та обов’язки сторін. Крім того, діяльність ООН в Україні регламентує Конвенція про привілеї та імунітети спеціалізованих установ ООН від 21 листопада 1947 року.</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Пріоритети співробітництва України та ООН закріплені в </w:t>
      </w:r>
      <w:r w:rsidRPr="00836885">
        <w:rPr>
          <w:rFonts w:ascii="Times New Roman" w:eastAsia="Times New Roman" w:hAnsi="Times New Roman" w:cs="Times New Roman"/>
          <w:b/>
          <w:bCs/>
          <w:sz w:val="24"/>
          <w:szCs w:val="24"/>
          <w:lang w:eastAsia="uk-UA"/>
        </w:rPr>
        <w:t>Рамковій програмі допомоги ООН для України на 2006-2010 роки</w:t>
      </w:r>
      <w:r w:rsidRPr="00836885">
        <w:rPr>
          <w:rFonts w:ascii="Times New Roman" w:eastAsia="Times New Roman" w:hAnsi="Times New Roman" w:cs="Times New Roman"/>
          <w:sz w:val="24"/>
          <w:szCs w:val="24"/>
          <w:lang w:eastAsia="uk-UA"/>
        </w:rPr>
        <w:t>, яка ухвалена розпорядженням Кабінету Міністрів України від 27.07.2005 №289-р та підписана 23.08.2005 Міністром економіки України. Рамковою програмою передбачено такі основні сфери співробітництва: екологія, інституційні реформи, посилення громадянського суспільства, охорона здоров’я та медичні послуги та добробут проти бідності.</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Співпраця ПРООН та Міністерства охорони навколишнього природного середовища базується на трьох меморандумах про взаєморозуміння:</w:t>
      </w:r>
    </w:p>
    <w:p w:rsidR="00836885" w:rsidRPr="00836885" w:rsidRDefault="00836885" w:rsidP="00836885">
      <w:pPr>
        <w:numPr>
          <w:ilvl w:val="0"/>
          <w:numId w:val="9"/>
        </w:num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Меморандум про співпрацю щодо сталого розвитку, охорони довкілля та енергетики (Травень, 2004)</w:t>
      </w:r>
    </w:p>
    <w:p w:rsidR="00836885" w:rsidRPr="00836885" w:rsidRDefault="00836885" w:rsidP="00836885">
      <w:pPr>
        <w:numPr>
          <w:ilvl w:val="0"/>
          <w:numId w:val="9"/>
        </w:num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Меморандум про співпрацю із змін клімату (Червень, 2004)</w:t>
      </w:r>
    </w:p>
    <w:p w:rsidR="00836885" w:rsidRPr="00836885" w:rsidRDefault="00836885" w:rsidP="00836885">
      <w:pPr>
        <w:numPr>
          <w:ilvl w:val="0"/>
          <w:numId w:val="9"/>
        </w:num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Меморандум про взаєморозуміння між Міністерством охорони навколишнього природного середовища України та Програмою Розвитку ООН в Україні про співробітництво у сфері сталого розвитку, навколишнього природного середовища та енергетики (Червень, 2008)</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9 червня 2008 року ПРООН та </w:t>
      </w:r>
      <w:proofErr w:type="spellStart"/>
      <w:r w:rsidRPr="00836885">
        <w:rPr>
          <w:rFonts w:ascii="Times New Roman" w:eastAsia="Times New Roman" w:hAnsi="Times New Roman" w:cs="Times New Roman"/>
          <w:sz w:val="24"/>
          <w:szCs w:val="24"/>
          <w:lang w:eastAsia="uk-UA"/>
        </w:rPr>
        <w:t>Мінприроди</w:t>
      </w:r>
      <w:proofErr w:type="spellEnd"/>
      <w:r w:rsidRPr="00836885">
        <w:rPr>
          <w:rFonts w:ascii="Times New Roman" w:eastAsia="Times New Roman" w:hAnsi="Times New Roman" w:cs="Times New Roman"/>
          <w:sz w:val="24"/>
          <w:szCs w:val="24"/>
          <w:lang w:eastAsia="uk-UA"/>
        </w:rPr>
        <w:t xml:space="preserve"> підписали </w:t>
      </w:r>
      <w:r w:rsidRPr="00836885">
        <w:rPr>
          <w:rFonts w:ascii="Times New Roman" w:eastAsia="Times New Roman" w:hAnsi="Times New Roman" w:cs="Times New Roman"/>
          <w:b/>
          <w:bCs/>
          <w:sz w:val="24"/>
          <w:szCs w:val="24"/>
          <w:lang w:eastAsia="uk-UA"/>
        </w:rPr>
        <w:t>Меморандум про взаєморозуміння </w:t>
      </w:r>
      <w:r w:rsidRPr="00836885">
        <w:rPr>
          <w:rFonts w:ascii="Times New Roman" w:eastAsia="Times New Roman" w:hAnsi="Times New Roman" w:cs="Times New Roman"/>
          <w:sz w:val="24"/>
          <w:szCs w:val="24"/>
          <w:lang w:eastAsia="uk-UA"/>
        </w:rPr>
        <w:t xml:space="preserve">з метою забезпечення виконання двостороннього співробітництва у сфері сталого розвитку, навколишнього природного середовища та енергетики. Згідно з Меморандумом особлива увага звертатиметься на реалізацію спільних зусиль з метою пом’якшення негативного впливу зміни клімату на довкілля України шляхом підтримки запровадження </w:t>
      </w:r>
      <w:proofErr w:type="spellStart"/>
      <w:r w:rsidRPr="00836885">
        <w:rPr>
          <w:rFonts w:ascii="Times New Roman" w:eastAsia="Times New Roman" w:hAnsi="Times New Roman" w:cs="Times New Roman"/>
          <w:sz w:val="24"/>
          <w:szCs w:val="24"/>
          <w:lang w:eastAsia="uk-UA"/>
        </w:rPr>
        <w:t>енергоефективних</w:t>
      </w:r>
      <w:proofErr w:type="spellEnd"/>
      <w:r w:rsidRPr="00836885">
        <w:rPr>
          <w:rFonts w:ascii="Times New Roman" w:eastAsia="Times New Roman" w:hAnsi="Times New Roman" w:cs="Times New Roman"/>
          <w:sz w:val="24"/>
          <w:szCs w:val="24"/>
          <w:lang w:eastAsia="uk-UA"/>
        </w:rPr>
        <w:t xml:space="preserve"> технологій, відновлювальної енергетики та сприяння реформам в енергетичному секторі. В галузі </w:t>
      </w:r>
      <w:proofErr w:type="spellStart"/>
      <w:r w:rsidRPr="00836885">
        <w:rPr>
          <w:rFonts w:ascii="Times New Roman" w:eastAsia="Times New Roman" w:hAnsi="Times New Roman" w:cs="Times New Roman"/>
          <w:sz w:val="24"/>
          <w:szCs w:val="24"/>
          <w:lang w:eastAsia="uk-UA"/>
        </w:rPr>
        <w:t>біорізноманіття</w:t>
      </w:r>
      <w:proofErr w:type="spellEnd"/>
      <w:r w:rsidRPr="00836885">
        <w:rPr>
          <w:rFonts w:ascii="Times New Roman" w:eastAsia="Times New Roman" w:hAnsi="Times New Roman" w:cs="Times New Roman"/>
          <w:sz w:val="24"/>
          <w:szCs w:val="24"/>
          <w:lang w:eastAsia="uk-UA"/>
        </w:rPr>
        <w:t xml:space="preserve"> сторони погодилися спільно працювати над забезпеченням належної охорони та послідовного використання біологічного різноманіття унікальних екологічних систем в Україні.</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 xml:space="preserve">ПРООН допомагає Україні зміцнити її потенціал, а також вирішувати ці проблеми </w:t>
      </w:r>
      <w:proofErr w:type="spellStart"/>
      <w:r w:rsidRPr="00836885">
        <w:rPr>
          <w:rFonts w:ascii="Times New Roman" w:eastAsia="Times New Roman" w:hAnsi="Times New Roman" w:cs="Times New Roman"/>
          <w:sz w:val="24"/>
          <w:szCs w:val="24"/>
          <w:lang w:eastAsia="uk-UA"/>
        </w:rPr>
        <w:t>назагальнонаціональному</w:t>
      </w:r>
      <w:proofErr w:type="spellEnd"/>
      <w:r w:rsidRPr="00836885">
        <w:rPr>
          <w:rFonts w:ascii="Times New Roman" w:eastAsia="Times New Roman" w:hAnsi="Times New Roman" w:cs="Times New Roman"/>
          <w:sz w:val="24"/>
          <w:szCs w:val="24"/>
          <w:lang w:eastAsia="uk-UA"/>
        </w:rPr>
        <w:t>, регіональному рівнях і на рівні громади, популяризуючи та розповсюджуючи найкращі практики, надаючи консультації щодо інноваційних підходів в екологічній політиці та закладаючи партнерські стосунки шляхом впровадження пілотних проектів.</w:t>
      </w:r>
    </w:p>
    <w:p w:rsidR="00836885" w:rsidRDefault="00836885" w:rsidP="00836885">
      <w:pPr>
        <w:pStyle w:val="1"/>
        <w:spacing w:before="0" w:beforeAutospacing="0" w:after="0" w:afterAutospacing="0"/>
        <w:ind w:firstLine="709"/>
        <w:jc w:val="both"/>
        <w:rPr>
          <w:b w:val="0"/>
          <w:bCs w:val="0"/>
          <w:sz w:val="24"/>
          <w:szCs w:val="24"/>
          <w:lang w:val="ru-RU"/>
        </w:rPr>
      </w:pPr>
    </w:p>
    <w:p w:rsidR="00836885" w:rsidRDefault="00836885" w:rsidP="00836885">
      <w:pPr>
        <w:pStyle w:val="1"/>
        <w:spacing w:before="0" w:beforeAutospacing="0" w:after="0" w:afterAutospacing="0"/>
        <w:ind w:firstLine="709"/>
        <w:jc w:val="both"/>
        <w:rPr>
          <w:b w:val="0"/>
          <w:bCs w:val="0"/>
          <w:sz w:val="24"/>
          <w:szCs w:val="24"/>
          <w:lang w:val="ru-RU"/>
        </w:rPr>
      </w:pPr>
    </w:p>
    <w:p w:rsidR="00836885" w:rsidRPr="00836885" w:rsidRDefault="00836885" w:rsidP="00836885">
      <w:pPr>
        <w:pStyle w:val="1"/>
        <w:spacing w:before="0" w:beforeAutospacing="0" w:after="0" w:afterAutospacing="0"/>
        <w:ind w:firstLine="709"/>
        <w:jc w:val="center"/>
        <w:rPr>
          <w:bCs w:val="0"/>
          <w:sz w:val="24"/>
          <w:szCs w:val="24"/>
          <w:u w:val="single"/>
        </w:rPr>
      </w:pPr>
      <w:r w:rsidRPr="00836885">
        <w:rPr>
          <w:bCs w:val="0"/>
          <w:sz w:val="24"/>
          <w:szCs w:val="24"/>
          <w:u w:val="single"/>
        </w:rPr>
        <w:t>ЮНЕСКО (UNESCO)</w:t>
      </w:r>
    </w:p>
    <w:p w:rsidR="00836885" w:rsidRPr="00836885" w:rsidRDefault="00836885" w:rsidP="00836885">
      <w:pPr>
        <w:pStyle w:val="a4"/>
        <w:spacing w:before="0" w:beforeAutospacing="0" w:after="0" w:afterAutospacing="0"/>
        <w:ind w:firstLine="709"/>
        <w:jc w:val="both"/>
        <w:textAlignment w:val="baseline"/>
      </w:pPr>
      <w:r w:rsidRPr="00836885">
        <w:rPr>
          <w:bdr w:val="none" w:sz="0" w:space="0" w:color="auto" w:frame="1"/>
        </w:rPr>
        <w:t>ЮНЕСКО (UNESCO) — Організація Об'єднаних Націй з питаннях освіти, науки і культури (</w:t>
      </w:r>
      <w:proofErr w:type="spellStart"/>
      <w:r w:rsidRPr="00836885">
        <w:rPr>
          <w:bdr w:val="none" w:sz="0" w:space="0" w:color="auto" w:frame="1"/>
        </w:rPr>
        <w:t>United</w:t>
      </w:r>
      <w:proofErr w:type="spellEnd"/>
      <w:r w:rsidRPr="00836885">
        <w:rPr>
          <w:bdr w:val="none" w:sz="0" w:space="0" w:color="auto" w:frame="1"/>
        </w:rPr>
        <w:t xml:space="preserve"> </w:t>
      </w:r>
      <w:proofErr w:type="spellStart"/>
      <w:r w:rsidRPr="00836885">
        <w:rPr>
          <w:bdr w:val="none" w:sz="0" w:space="0" w:color="auto" w:frame="1"/>
        </w:rPr>
        <w:t>Nations</w:t>
      </w:r>
      <w:proofErr w:type="spellEnd"/>
      <w:r w:rsidRPr="00836885">
        <w:rPr>
          <w:bdr w:val="none" w:sz="0" w:space="0" w:color="auto" w:frame="1"/>
        </w:rPr>
        <w:t xml:space="preserve"> </w:t>
      </w:r>
      <w:proofErr w:type="spellStart"/>
      <w:r w:rsidRPr="00836885">
        <w:rPr>
          <w:bdr w:val="none" w:sz="0" w:space="0" w:color="auto" w:frame="1"/>
        </w:rPr>
        <w:t>Educational</w:t>
      </w:r>
      <w:proofErr w:type="spellEnd"/>
      <w:r w:rsidRPr="00836885">
        <w:rPr>
          <w:bdr w:val="none" w:sz="0" w:space="0" w:color="auto" w:frame="1"/>
        </w:rPr>
        <w:t xml:space="preserve">, </w:t>
      </w:r>
      <w:proofErr w:type="spellStart"/>
      <w:r w:rsidRPr="00836885">
        <w:rPr>
          <w:bdr w:val="none" w:sz="0" w:space="0" w:color="auto" w:frame="1"/>
        </w:rPr>
        <w:t>Scientific</w:t>
      </w:r>
      <w:proofErr w:type="spellEnd"/>
      <w:r w:rsidRPr="00836885">
        <w:rPr>
          <w:bdr w:val="none" w:sz="0" w:space="0" w:color="auto" w:frame="1"/>
        </w:rPr>
        <w:t xml:space="preserve"> </w:t>
      </w:r>
      <w:proofErr w:type="spellStart"/>
      <w:r w:rsidRPr="00836885">
        <w:rPr>
          <w:bdr w:val="none" w:sz="0" w:space="0" w:color="auto" w:frame="1"/>
        </w:rPr>
        <w:t>and</w:t>
      </w:r>
      <w:proofErr w:type="spellEnd"/>
      <w:r w:rsidRPr="00836885">
        <w:rPr>
          <w:bdr w:val="none" w:sz="0" w:space="0" w:color="auto" w:frame="1"/>
        </w:rPr>
        <w:t xml:space="preserve"> </w:t>
      </w:r>
      <w:proofErr w:type="spellStart"/>
      <w:r w:rsidRPr="00836885">
        <w:rPr>
          <w:bdr w:val="none" w:sz="0" w:space="0" w:color="auto" w:frame="1"/>
        </w:rPr>
        <w:t>Cultural</w:t>
      </w:r>
      <w:proofErr w:type="spellEnd"/>
      <w:r w:rsidRPr="00836885">
        <w:rPr>
          <w:bdr w:val="none" w:sz="0" w:space="0" w:color="auto" w:frame="1"/>
        </w:rPr>
        <w:t xml:space="preserve"> </w:t>
      </w:r>
      <w:proofErr w:type="spellStart"/>
      <w:r w:rsidRPr="00836885">
        <w:rPr>
          <w:bdr w:val="none" w:sz="0" w:space="0" w:color="auto" w:frame="1"/>
        </w:rPr>
        <w:t>Organization</w:t>
      </w:r>
      <w:proofErr w:type="spellEnd"/>
      <w:r w:rsidRPr="00836885">
        <w:rPr>
          <w:bdr w:val="none" w:sz="0" w:space="0" w:color="auto" w:frame="1"/>
        </w:rPr>
        <w:t>). ЮНЕСКО є міжнародною міжурядовою організацією, спеціалізованою установою ООН. Офіційно існує з 4 листопада 1946 року, коли набрав чинності (після ратифікації двадцятьма країнами) її Статут, підписаний 16 листопада 1945 р. представниками 44 держав на установчій конференції у Лондоні. ЮНЕСКО змінила Міжнародний інститут інтелектуальної співпраці, заснований 9 серпня 1925 р. </w:t>
      </w:r>
    </w:p>
    <w:p w:rsidR="00836885" w:rsidRPr="00836885" w:rsidRDefault="00836885" w:rsidP="00836885">
      <w:pPr>
        <w:pStyle w:val="a4"/>
        <w:spacing w:before="0" w:beforeAutospacing="0" w:after="0" w:afterAutospacing="0"/>
        <w:ind w:firstLine="709"/>
        <w:jc w:val="both"/>
        <w:textAlignment w:val="baseline"/>
      </w:pPr>
      <w:r w:rsidRPr="00836885">
        <w:rPr>
          <w:rStyle w:val="a5"/>
          <w:bdr w:val="none" w:sz="0" w:space="0" w:color="auto" w:frame="1"/>
        </w:rPr>
        <w:t>Штаб-квартира </w:t>
      </w:r>
      <w:r w:rsidRPr="00836885">
        <w:t>Організації розташована у Парижі (Франція). </w:t>
      </w:r>
      <w:r w:rsidRPr="00836885">
        <w:br/>
      </w:r>
      <w:r w:rsidRPr="00836885">
        <w:rPr>
          <w:rStyle w:val="a5"/>
          <w:bdr w:val="none" w:sz="0" w:space="0" w:color="auto" w:frame="1"/>
        </w:rPr>
        <w:t>Офіційні мови ЮНЕСКО</w:t>
      </w:r>
      <w:r w:rsidRPr="00836885">
        <w:t xml:space="preserve"> - англійська, арабська, іспанська, китайська, російська та </w:t>
      </w:r>
      <w:r w:rsidRPr="00836885">
        <w:lastRenderedPageBreak/>
        <w:t>французька. </w:t>
      </w:r>
      <w:r w:rsidRPr="00836885">
        <w:rPr>
          <w:rStyle w:val="a5"/>
          <w:bdr w:val="none" w:sz="0" w:space="0" w:color="auto" w:frame="1"/>
        </w:rPr>
        <w:t>Робочими мовами Секретаріату </w:t>
      </w:r>
      <w:r w:rsidRPr="00836885">
        <w:t>є англійська та французька. </w:t>
      </w:r>
      <w:r w:rsidRPr="00836885">
        <w:br/>
      </w:r>
      <w:r w:rsidRPr="00836885">
        <w:rPr>
          <w:rStyle w:val="a5"/>
          <w:bdr w:val="none" w:sz="0" w:space="0" w:color="auto" w:frame="1"/>
        </w:rPr>
        <w:t>Керівні органи ЮНЕСКО</w:t>
      </w:r>
      <w:r w:rsidRPr="00836885">
        <w:t> - Генеральна конференція, Виконавча рада i Секретаріат.</w:t>
      </w:r>
    </w:p>
    <w:p w:rsidR="00836885" w:rsidRPr="00836885" w:rsidRDefault="00836885" w:rsidP="00836885">
      <w:pPr>
        <w:pStyle w:val="a4"/>
        <w:spacing w:before="0" w:beforeAutospacing="0" w:after="0" w:afterAutospacing="0"/>
        <w:ind w:firstLine="709"/>
        <w:jc w:val="both"/>
        <w:textAlignment w:val="baseline"/>
      </w:pPr>
      <w:r w:rsidRPr="00836885">
        <w:rPr>
          <w:rStyle w:val="a5"/>
          <w:bdr w:val="none" w:sz="0" w:space="0" w:color="auto" w:frame="1"/>
        </w:rPr>
        <w:t>Найвищий орган ЮНЕСКО - Генеральна конференція</w:t>
      </w:r>
      <w:r w:rsidRPr="00836885">
        <w:t xml:space="preserve">, яка складається з представників </w:t>
      </w:r>
      <w:proofErr w:type="spellStart"/>
      <w:r w:rsidRPr="00836885">
        <w:t>держав-членiв</w:t>
      </w:r>
      <w:proofErr w:type="spellEnd"/>
      <w:r w:rsidRPr="00836885">
        <w:t xml:space="preserve"> i скликається на чергові сесії раз на два роки. </w:t>
      </w:r>
      <w:proofErr w:type="spellStart"/>
      <w:r w:rsidRPr="00836885">
        <w:t>Генконференцiя</w:t>
      </w:r>
      <w:proofErr w:type="spellEnd"/>
      <w:r w:rsidRPr="00836885">
        <w:t xml:space="preserve"> визначає напрями i загальну лінію діяльності Організації, затверджує середньострокову стратегію та її програму i бюджет на кожні два роки, схвалює проекти міжнародних конвенцій i рекомендацій, призначає Генерального директора (за рекомендацією Виконавчої ради), обирає членів Виконавчої ради, розглядає </w:t>
      </w:r>
      <w:proofErr w:type="spellStart"/>
      <w:r w:rsidRPr="00836885">
        <w:t>iншi</w:t>
      </w:r>
      <w:proofErr w:type="spellEnd"/>
      <w:r w:rsidRPr="00836885">
        <w:t xml:space="preserve"> важливі питання діяльності ЮНЕСКО. </w:t>
      </w:r>
    </w:p>
    <w:p w:rsidR="00836885" w:rsidRPr="00836885" w:rsidRDefault="00836885" w:rsidP="00836885">
      <w:pPr>
        <w:pStyle w:val="a4"/>
        <w:spacing w:before="0" w:beforeAutospacing="0" w:after="0" w:afterAutospacing="0"/>
        <w:ind w:firstLine="709"/>
        <w:jc w:val="both"/>
        <w:textAlignment w:val="baseline"/>
      </w:pPr>
      <w:r w:rsidRPr="00836885">
        <w:rPr>
          <w:rStyle w:val="a5"/>
          <w:bdr w:val="none" w:sz="0" w:space="0" w:color="auto" w:frame="1"/>
        </w:rPr>
        <w:t>Виконавча рада</w:t>
      </w:r>
      <w:r w:rsidRPr="00836885">
        <w:t xml:space="preserve">, до складу якої входить 58 представників </w:t>
      </w:r>
      <w:proofErr w:type="spellStart"/>
      <w:r w:rsidRPr="00836885">
        <w:t>держав-членiв</w:t>
      </w:r>
      <w:proofErr w:type="spellEnd"/>
      <w:r w:rsidRPr="00836885">
        <w:t xml:space="preserve"> ЮНЕСКО, координує її діяльність у період між сесіями </w:t>
      </w:r>
      <w:proofErr w:type="spellStart"/>
      <w:r w:rsidRPr="00836885">
        <w:t>Генконференцiї</w:t>
      </w:r>
      <w:proofErr w:type="spellEnd"/>
      <w:r w:rsidRPr="00836885">
        <w:t xml:space="preserve">. Засідання Виконавчої ради відбуваються двічі на рік. Вона розглядає i подає Генеральній конференції проекти дворічних програм та середньострокових стратегічних напрямів діяльності Організації, визначає заходи для ефективної реалізації затверджених програм i бюджетів, готує порядок денний </w:t>
      </w:r>
      <w:proofErr w:type="spellStart"/>
      <w:r w:rsidRPr="00836885">
        <w:t>Генконференцiї</w:t>
      </w:r>
      <w:proofErr w:type="spellEnd"/>
      <w:r w:rsidRPr="00836885">
        <w:t>, подає рекомендації щодо прийому в Організацію нових членів та встановлення асоційованих зв'язків з новими партнерами.</w:t>
      </w:r>
    </w:p>
    <w:p w:rsidR="00836885" w:rsidRPr="00836885" w:rsidRDefault="00836885" w:rsidP="00836885">
      <w:pPr>
        <w:pStyle w:val="a4"/>
        <w:spacing w:before="0" w:beforeAutospacing="0" w:after="0" w:afterAutospacing="0"/>
        <w:ind w:firstLine="709"/>
        <w:jc w:val="both"/>
        <w:textAlignment w:val="baseline"/>
      </w:pPr>
      <w:r w:rsidRPr="00836885">
        <w:rPr>
          <w:rStyle w:val="a5"/>
          <w:bdr w:val="none" w:sz="0" w:space="0" w:color="auto" w:frame="1"/>
        </w:rPr>
        <w:t>Секретаріат ЮНЕСКО</w:t>
      </w:r>
      <w:r w:rsidRPr="00836885">
        <w:t> - постійно діючий виконавчий орган. Його очолює Генеральний директор, який призначається Генеральною конференцією на чотирирічний термін. Секретаріат складається із фахівців різних країн, набраних на основі принципу рівномірної географічної представленості, але з урахуванням їх професійної компетенції. Структурно він поділяється на сектори за основними напрямами діяльності ЮНЕСКО. У Секретаріаті працює понад дві тисячі фахівців із 130 країн.</w:t>
      </w:r>
    </w:p>
    <w:p w:rsidR="00836885" w:rsidRPr="00836885" w:rsidRDefault="00836885" w:rsidP="00836885">
      <w:pPr>
        <w:pStyle w:val="a4"/>
        <w:spacing w:before="0" w:beforeAutospacing="0" w:after="0" w:afterAutospacing="0"/>
        <w:ind w:firstLine="709"/>
        <w:jc w:val="both"/>
        <w:textAlignment w:val="baseline"/>
      </w:pPr>
      <w:r w:rsidRPr="00836885">
        <w:t>Згідно зі Статутом, </w:t>
      </w:r>
      <w:r w:rsidRPr="00836885">
        <w:rPr>
          <w:rStyle w:val="a5"/>
          <w:bdr w:val="none" w:sz="0" w:space="0" w:color="auto" w:frame="1"/>
        </w:rPr>
        <w:t>головне завдання ЮНЕСКО</w:t>
      </w:r>
      <w:r w:rsidRPr="00836885">
        <w:t xml:space="preserve"> полягає в тому, щоб сприяти зміцненню миру i безпеки шляхом розширення співробітництва народів у галузі освіти, науки i культури, а також укоріненню у свідомості людей необхідності захисту миру. Організація є своєрідним інтелектуальним форумом, спеціальний мандат якого базується на постулаті, що мир i стабільність суспільства повинні </w:t>
      </w:r>
      <w:proofErr w:type="spellStart"/>
      <w:r w:rsidRPr="00836885">
        <w:t>грунтуватися</w:t>
      </w:r>
      <w:proofErr w:type="spellEnd"/>
      <w:r w:rsidRPr="00836885">
        <w:t xml:space="preserve"> на моральній та інтелектуальній солідарності людства. Отже, місія ЮНЕСКО полягає у зміцненні інтелектуальної та моральної солідарності людства, а відтак - створенні гуманітарних підвалин всеохоплюючої системи міжнародної безпеки та стабільності. </w:t>
      </w:r>
    </w:p>
    <w:p w:rsidR="00836885" w:rsidRPr="00836885" w:rsidRDefault="00836885" w:rsidP="00836885">
      <w:pPr>
        <w:pStyle w:val="a4"/>
        <w:spacing w:before="0" w:beforeAutospacing="0" w:after="0" w:afterAutospacing="0"/>
        <w:ind w:firstLine="709"/>
        <w:jc w:val="both"/>
        <w:textAlignment w:val="baseline"/>
      </w:pPr>
      <w:r w:rsidRPr="00836885">
        <w:rPr>
          <w:rStyle w:val="a5"/>
          <w:bdr w:val="none" w:sz="0" w:space="0" w:color="auto" w:frame="1"/>
        </w:rPr>
        <w:t>Основними сферами компетенції ЮНЕСКО є</w:t>
      </w:r>
      <w:r w:rsidRPr="00836885">
        <w:t>: освіта - від дошкільної до вищої та безперервної, включаючи освіту для дорослих, превентивну (профілактична), спеціальну, професійно-технічну та екологічну; природничі, точні та гуманітарні науки; культура i міжнародне культурне співробітництво; засоби масової інформації, інформатика та комунікація. </w:t>
      </w:r>
    </w:p>
    <w:p w:rsidR="00836885" w:rsidRPr="00836885" w:rsidRDefault="00836885" w:rsidP="00836885">
      <w:pPr>
        <w:pStyle w:val="a4"/>
        <w:spacing w:before="0" w:beforeAutospacing="0" w:after="0" w:afterAutospacing="0"/>
        <w:ind w:firstLine="709"/>
        <w:jc w:val="both"/>
        <w:textAlignment w:val="baseline"/>
      </w:pPr>
      <w:r w:rsidRPr="00836885">
        <w:rPr>
          <w:rStyle w:val="a5"/>
          <w:bdr w:val="none" w:sz="0" w:space="0" w:color="auto" w:frame="1"/>
        </w:rPr>
        <w:t>Практична діяльність ЮНЕСКО </w:t>
      </w:r>
      <w:r w:rsidRPr="00836885">
        <w:t>будується на засадах середньострокового плану, розрахованого на 6 років. У свою чергу, на підставі такого плану складаються три дворічні програми. Конкретна робота Організації, що проводиться в рамках затверджених програми i бюджету на 2006-2007 рр., здійснюється за такими головними напрямами: </w:t>
      </w:r>
    </w:p>
    <w:p w:rsidR="00836885" w:rsidRPr="00836885" w:rsidRDefault="00836885" w:rsidP="00836885">
      <w:pPr>
        <w:numPr>
          <w:ilvl w:val="0"/>
          <w:numId w:val="10"/>
        </w:numPr>
        <w:spacing w:after="0" w:line="240" w:lineRule="auto"/>
        <w:ind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Велика програма I - Освіта. </w:t>
      </w:r>
    </w:p>
    <w:p w:rsidR="00836885" w:rsidRPr="00836885" w:rsidRDefault="00836885" w:rsidP="00836885">
      <w:pPr>
        <w:numPr>
          <w:ilvl w:val="0"/>
          <w:numId w:val="10"/>
        </w:numPr>
        <w:spacing w:after="0" w:line="240" w:lineRule="auto"/>
        <w:ind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Велика програма II - Природничі науки. </w:t>
      </w:r>
    </w:p>
    <w:p w:rsidR="00836885" w:rsidRPr="00836885" w:rsidRDefault="00836885" w:rsidP="00836885">
      <w:pPr>
        <w:numPr>
          <w:ilvl w:val="0"/>
          <w:numId w:val="10"/>
        </w:numPr>
        <w:spacing w:after="0" w:line="240" w:lineRule="auto"/>
        <w:ind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Велика програма III - Соціальні та гуманітарні науки </w:t>
      </w:r>
    </w:p>
    <w:p w:rsidR="00836885" w:rsidRPr="00836885" w:rsidRDefault="00836885" w:rsidP="00836885">
      <w:pPr>
        <w:numPr>
          <w:ilvl w:val="0"/>
          <w:numId w:val="10"/>
        </w:numPr>
        <w:spacing w:after="0" w:line="240" w:lineRule="auto"/>
        <w:ind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Велика програма IV - Культура. </w:t>
      </w:r>
    </w:p>
    <w:p w:rsidR="00836885" w:rsidRPr="00836885" w:rsidRDefault="00836885" w:rsidP="00836885">
      <w:pPr>
        <w:numPr>
          <w:ilvl w:val="0"/>
          <w:numId w:val="10"/>
        </w:numPr>
        <w:spacing w:after="0" w:line="240" w:lineRule="auto"/>
        <w:ind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Велика програма V - Комунікація та інформація.</w:t>
      </w:r>
    </w:p>
    <w:p w:rsidR="00836885" w:rsidRPr="00836885" w:rsidRDefault="00836885" w:rsidP="00836885">
      <w:pPr>
        <w:pStyle w:val="a4"/>
        <w:spacing w:before="0" w:beforeAutospacing="0" w:after="0" w:afterAutospacing="0"/>
        <w:ind w:firstLine="709"/>
        <w:jc w:val="both"/>
        <w:textAlignment w:val="baseline"/>
      </w:pPr>
      <w:r w:rsidRPr="00836885">
        <w:t>Основними міжнародно-правовими документами ЮНЕСКО є: конвенції про охорону культурних цінностей у випадку збройного конфлікту (1954 р.); про заходи, спрямовані на заборону та запобігання незаконному ввезенню, вивезенню та передачі права власності на культурні цінності (1970 р.); про охорону всесвітньої культурної та природної спадщини (1972 р.); регіональні конвенції (у т.ч. Європейська) про визнання навчальних курсів і дипломів з вищої освіти та ін.; рекомендації про міжнародний обмін культурними цінностями (1976 р.); про участь і вклад громадських кіл у культурне життя (1976 р.) та ін.; декларації про принципи міжнародного культурного співробітництва (1966 р.); про основні принципи, що стосуються вкладу засобів масової інформації у зміцнення миру та міжнародного взаєморозуміння, розвиток прав людини і боротьбу проти расизму й апартеїду і підбурювання до війни (1978 р.); про раси і расові забобони (1978 р.), про охорону підводної культурної спадщини (2001 р.), про охорону нематеріальної культурної спадщини (2003 р.), про охорону та заохочення різноманіття форм культурного самовираження (2005 р.), про боротьбу з допінгом у спорті (2005 р.) та ін.</w:t>
      </w:r>
    </w:p>
    <w:p w:rsidR="00836885" w:rsidRPr="00836885" w:rsidRDefault="00836885" w:rsidP="00836885">
      <w:pPr>
        <w:pStyle w:val="6"/>
        <w:spacing w:before="0" w:line="240" w:lineRule="auto"/>
        <w:ind w:firstLine="709"/>
        <w:jc w:val="both"/>
        <w:textAlignment w:val="baseline"/>
        <w:rPr>
          <w:rFonts w:ascii="Times New Roman" w:hAnsi="Times New Roman" w:cs="Times New Roman"/>
          <w:color w:val="auto"/>
          <w:sz w:val="24"/>
          <w:szCs w:val="24"/>
        </w:rPr>
      </w:pPr>
      <w:r w:rsidRPr="00836885">
        <w:rPr>
          <w:rStyle w:val="a6"/>
          <w:rFonts w:ascii="Times New Roman" w:hAnsi="Times New Roman" w:cs="Times New Roman"/>
          <w:b/>
          <w:bCs/>
          <w:color w:val="auto"/>
          <w:sz w:val="24"/>
          <w:szCs w:val="24"/>
          <w:bdr w:val="none" w:sz="0" w:space="0" w:color="auto" w:frame="1"/>
        </w:rPr>
        <w:lastRenderedPageBreak/>
        <w:t>КОНВЕНЦІЯ ПРО ОХОРОНУ ВСЕСВІТНЬОЇ КУЛЬТУРНОЇ ТА ПРИРОДНОЇ СПАДЩИНИ</w:t>
      </w:r>
    </w:p>
    <w:p w:rsidR="00836885" w:rsidRPr="00836885" w:rsidRDefault="00836885" w:rsidP="00836885">
      <w:pPr>
        <w:pStyle w:val="a4"/>
        <w:spacing w:before="0" w:beforeAutospacing="0" w:after="0" w:afterAutospacing="0"/>
        <w:ind w:firstLine="709"/>
        <w:jc w:val="both"/>
        <w:textAlignment w:val="baseline"/>
      </w:pPr>
      <w:r w:rsidRPr="00836885">
        <w:t xml:space="preserve">У 2007 році в рамках Конвенції було доопрацьовано та подано на розгляд до Комітету всесвітньої спадщини ЮНЕСКО номінацію щодо створення транскордонного українсько-словацького серійного об’єкту «Букові праліси Карпат» до Списку всесвітньої природної спадщини ЮНЕСКО. Українська частина номінації представлена буковими пралісами на території Карпатського біосферного заповідника та </w:t>
      </w:r>
      <w:proofErr w:type="spellStart"/>
      <w:r w:rsidRPr="00836885">
        <w:t>Ужанського</w:t>
      </w:r>
      <w:proofErr w:type="spellEnd"/>
      <w:r w:rsidRPr="00836885">
        <w:t xml:space="preserve"> національного природного парку. </w:t>
      </w:r>
    </w:p>
    <w:p w:rsidR="00836885" w:rsidRPr="00836885" w:rsidRDefault="00836885" w:rsidP="00836885">
      <w:pPr>
        <w:pStyle w:val="a4"/>
        <w:spacing w:before="0" w:beforeAutospacing="0" w:after="0" w:afterAutospacing="0"/>
        <w:ind w:firstLine="709"/>
        <w:jc w:val="both"/>
        <w:textAlignment w:val="baseline"/>
      </w:pPr>
      <w:r w:rsidRPr="00836885">
        <w:t>У червні 2007 року на черговій сесії Комітету всесвітньої спадщини ЮНЕСКО зазначена територія була включена до Списку всесвітньої природної спадщини ЮНЕСКО. </w:t>
      </w:r>
    </w:p>
    <w:p w:rsidR="00836885" w:rsidRPr="00836885" w:rsidRDefault="00836885" w:rsidP="00836885">
      <w:pPr>
        <w:pStyle w:val="a4"/>
        <w:spacing w:before="0" w:beforeAutospacing="0" w:after="0" w:afterAutospacing="0"/>
        <w:ind w:firstLine="709"/>
        <w:jc w:val="both"/>
        <w:textAlignment w:val="baseline"/>
        <w:rPr>
          <w:lang w:val="ru-RU"/>
        </w:rPr>
      </w:pPr>
      <w:r w:rsidRPr="00836885">
        <w:t xml:space="preserve">За ініціативою України до Всесвітньої мережі біосферних заповідників ЮНЕСКО були включені українські біосферні заповідники </w:t>
      </w:r>
      <w:proofErr w:type="spellStart"/>
      <w:r w:rsidRPr="00836885">
        <w:t>„Чорноморський”</w:t>
      </w:r>
      <w:proofErr w:type="spellEnd"/>
      <w:r w:rsidRPr="00836885">
        <w:t xml:space="preserve"> (1982 рік), </w:t>
      </w:r>
      <w:proofErr w:type="spellStart"/>
      <w:r w:rsidRPr="00836885">
        <w:t>„Асканія-Нова”</w:t>
      </w:r>
      <w:proofErr w:type="spellEnd"/>
      <w:r w:rsidRPr="00836885">
        <w:t xml:space="preserve"> (1982 рік), </w:t>
      </w:r>
      <w:proofErr w:type="spellStart"/>
      <w:r w:rsidRPr="00836885">
        <w:t>„Карпатський”</w:t>
      </w:r>
      <w:proofErr w:type="spellEnd"/>
      <w:r w:rsidRPr="00836885">
        <w:t xml:space="preserve"> (1992 рік), </w:t>
      </w:r>
      <w:proofErr w:type="spellStart"/>
      <w:r w:rsidRPr="00836885">
        <w:t>„Дунайський”</w:t>
      </w:r>
      <w:proofErr w:type="spellEnd"/>
      <w:r w:rsidRPr="00836885">
        <w:t xml:space="preserve"> (1998 рік), </w:t>
      </w:r>
      <w:proofErr w:type="spellStart"/>
      <w:r w:rsidRPr="00836885">
        <w:t>„Ужанський</w:t>
      </w:r>
      <w:proofErr w:type="spellEnd"/>
      <w:r w:rsidRPr="00836885">
        <w:t xml:space="preserve"> національний </w:t>
      </w:r>
      <w:proofErr w:type="spellStart"/>
      <w:r w:rsidRPr="00836885">
        <w:t>парк”</w:t>
      </w:r>
      <w:proofErr w:type="spellEnd"/>
      <w:r w:rsidRPr="00836885">
        <w:t xml:space="preserve"> (1999 рік) та </w:t>
      </w:r>
      <w:proofErr w:type="spellStart"/>
      <w:r w:rsidRPr="00836885">
        <w:t>„Шацький”</w:t>
      </w:r>
      <w:proofErr w:type="spellEnd"/>
      <w:r w:rsidRPr="00836885">
        <w:t xml:space="preserve"> (2002 рік). Вперше у світі за безпосередньої участі України створено транскордонний румунсько-український біосферний резерват </w:t>
      </w:r>
      <w:proofErr w:type="spellStart"/>
      <w:r w:rsidRPr="00836885">
        <w:t>„Дельта</w:t>
      </w:r>
      <w:proofErr w:type="spellEnd"/>
      <w:r w:rsidRPr="00836885">
        <w:t xml:space="preserve"> </w:t>
      </w:r>
      <w:proofErr w:type="spellStart"/>
      <w:r w:rsidRPr="00836885">
        <w:t>Дунаю”</w:t>
      </w:r>
      <w:proofErr w:type="spellEnd"/>
      <w:r w:rsidRPr="00836885">
        <w:t xml:space="preserve"> (1998 рік) та тристоронній польсько-словацько-український біосферний заповідник </w:t>
      </w:r>
      <w:proofErr w:type="spellStart"/>
      <w:r w:rsidRPr="00836885">
        <w:t>„Східні</w:t>
      </w:r>
      <w:proofErr w:type="spellEnd"/>
      <w:r w:rsidRPr="00836885">
        <w:t xml:space="preserve"> </w:t>
      </w:r>
      <w:proofErr w:type="spellStart"/>
      <w:r w:rsidRPr="00836885">
        <w:t>Карпати”</w:t>
      </w:r>
      <w:proofErr w:type="spellEnd"/>
      <w:r w:rsidRPr="00836885">
        <w:t xml:space="preserve"> (1999 рік).</w:t>
      </w:r>
    </w:p>
    <w:p w:rsidR="00836885" w:rsidRPr="00836885" w:rsidRDefault="00836885" w:rsidP="00836885">
      <w:pPr>
        <w:pStyle w:val="a4"/>
        <w:spacing w:before="0" w:beforeAutospacing="0" w:after="0" w:afterAutospacing="0"/>
        <w:ind w:firstLine="709"/>
        <w:jc w:val="both"/>
        <w:textAlignment w:val="baseline"/>
        <w:rPr>
          <w:lang w:val="ru-RU"/>
        </w:rPr>
      </w:pPr>
    </w:p>
    <w:p w:rsidR="00836885" w:rsidRPr="00836885" w:rsidRDefault="00836885" w:rsidP="00836885">
      <w:pPr>
        <w:spacing w:after="0" w:line="240" w:lineRule="auto"/>
        <w:ind w:firstLine="709"/>
        <w:jc w:val="center"/>
        <w:outlineLvl w:val="0"/>
        <w:rPr>
          <w:rFonts w:ascii="Times New Roman" w:eastAsia="Times New Roman" w:hAnsi="Times New Roman" w:cs="Times New Roman"/>
          <w:b/>
          <w:kern w:val="36"/>
          <w:sz w:val="24"/>
          <w:szCs w:val="24"/>
          <w:u w:val="single"/>
          <w:lang w:eastAsia="uk-UA"/>
        </w:rPr>
      </w:pPr>
      <w:r w:rsidRPr="00836885">
        <w:rPr>
          <w:rFonts w:ascii="Times New Roman" w:eastAsia="Times New Roman" w:hAnsi="Times New Roman" w:cs="Times New Roman"/>
          <w:b/>
          <w:kern w:val="36"/>
          <w:sz w:val="24"/>
          <w:szCs w:val="24"/>
          <w:u w:val="single"/>
          <w:lang w:eastAsia="uk-UA"/>
        </w:rPr>
        <w:t>ЮНІДО (UNIDO)</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bdr w:val="none" w:sz="0" w:space="0" w:color="auto" w:frame="1"/>
          <w:lang w:eastAsia="uk-UA"/>
        </w:rPr>
        <w:t>Україна є 8 грудня 1995 року між Урядом України та Організацією Об‘єднаних Націй з промислового розвитку укладено Угоду про співробітництво в сфері промислового розвитку. Означена Угода окреслила рамки, типи членом ЮНІДО </w:t>
      </w:r>
      <w:r w:rsidRPr="00836885">
        <w:rPr>
          <w:rFonts w:ascii="Times New Roman" w:eastAsia="Times New Roman" w:hAnsi="Times New Roman" w:cs="Times New Roman"/>
          <w:b/>
          <w:bCs/>
          <w:sz w:val="24"/>
          <w:szCs w:val="24"/>
          <w:lang w:eastAsia="uk-UA"/>
        </w:rPr>
        <w:t>(UNIDO)</w:t>
      </w:r>
      <w:r w:rsidRPr="00836885">
        <w:rPr>
          <w:rFonts w:ascii="Times New Roman" w:eastAsia="Times New Roman" w:hAnsi="Times New Roman" w:cs="Times New Roman"/>
          <w:sz w:val="24"/>
          <w:szCs w:val="24"/>
          <w:bdr w:val="none" w:sz="0" w:space="0" w:color="auto" w:frame="1"/>
          <w:lang w:eastAsia="uk-UA"/>
        </w:rPr>
        <w:t xml:space="preserve"> з 1995 року можливого співробітництва, а також визначила пріоритетні сфери співробітництва: залучення іноземних інвестицій в промисловість; захист </w:t>
      </w:r>
      <w:proofErr w:type="spellStart"/>
      <w:r w:rsidRPr="00836885">
        <w:rPr>
          <w:rFonts w:ascii="Times New Roman" w:eastAsia="Times New Roman" w:hAnsi="Times New Roman" w:cs="Times New Roman"/>
          <w:sz w:val="24"/>
          <w:szCs w:val="24"/>
          <w:bdr w:val="none" w:sz="0" w:space="0" w:color="auto" w:frame="1"/>
          <w:lang w:eastAsia="uk-UA"/>
        </w:rPr>
        <w:t>наволишнього</w:t>
      </w:r>
      <w:proofErr w:type="spellEnd"/>
      <w:r w:rsidRPr="00836885">
        <w:rPr>
          <w:rFonts w:ascii="Times New Roman" w:eastAsia="Times New Roman" w:hAnsi="Times New Roman" w:cs="Times New Roman"/>
          <w:sz w:val="24"/>
          <w:szCs w:val="24"/>
          <w:bdr w:val="none" w:sz="0" w:space="0" w:color="auto" w:frame="1"/>
          <w:lang w:eastAsia="uk-UA"/>
        </w:rPr>
        <w:t xml:space="preserve"> середовища та збереження природних ресурсів; впровадження ресурсозберігаючих технологій; реструктуризація економіки та розвиток приватного сектора, включаючи приватизацію державних підприємств; передача технологій, включаючи промислову та технологічну інформацію; розвиток усіх форм промислового бізнесу; розвиток людських ресурсів, включаючи підготовку персоналу для промисловості.</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Внаслідок фінансової кризи ЮНІДО після припинення членства в ній кількох країн (США, Великої Британії, Австралії), а також ситуації, що склалася з виплатою великої суми заборгованості Україною до ЮНІДО (більш ніж 8 млн. дол. США) та позбавлення України права голосу, на протязі кількох останніх років відбулося деяке скорочення співробітництва між Україною та ЮНІДО.</w:t>
      </w:r>
    </w:p>
    <w:p w:rsidR="00836885" w:rsidRPr="00836885" w:rsidRDefault="00836885" w:rsidP="00836885">
      <w:pPr>
        <w:spacing w:after="0" w:line="240" w:lineRule="auto"/>
        <w:ind w:firstLine="709"/>
        <w:jc w:val="both"/>
        <w:textAlignment w:val="baseline"/>
        <w:rPr>
          <w:rFonts w:ascii="Times New Roman" w:eastAsia="Times New Roman" w:hAnsi="Times New Roman" w:cs="Times New Roman"/>
          <w:sz w:val="24"/>
          <w:szCs w:val="24"/>
          <w:lang w:eastAsia="uk-UA"/>
        </w:rPr>
      </w:pPr>
      <w:r w:rsidRPr="00836885">
        <w:rPr>
          <w:rFonts w:ascii="Times New Roman" w:eastAsia="Times New Roman" w:hAnsi="Times New Roman" w:cs="Times New Roman"/>
          <w:sz w:val="24"/>
          <w:szCs w:val="24"/>
          <w:lang w:eastAsia="uk-UA"/>
        </w:rPr>
        <w:t>Однак, після вирішення питання реструктуризації боргу відбулися значні зрушення у сфері співробітництва між Україною та ЮНІДО.</w:t>
      </w:r>
    </w:p>
    <w:p w:rsidR="00836885" w:rsidRPr="00836885" w:rsidRDefault="00836885" w:rsidP="00836885">
      <w:pPr>
        <w:pStyle w:val="1"/>
        <w:spacing w:before="0" w:beforeAutospacing="0" w:after="0" w:afterAutospacing="0"/>
        <w:ind w:firstLine="709"/>
        <w:jc w:val="both"/>
        <w:rPr>
          <w:b w:val="0"/>
          <w:bCs w:val="0"/>
          <w:sz w:val="24"/>
          <w:szCs w:val="24"/>
        </w:rPr>
      </w:pPr>
      <w:r w:rsidRPr="00836885">
        <w:rPr>
          <w:b w:val="0"/>
          <w:bCs w:val="0"/>
          <w:sz w:val="24"/>
          <w:szCs w:val="24"/>
        </w:rPr>
        <w:t>Програма ООН з навколишнього середовища (ЮНЕП)</w:t>
      </w:r>
    </w:p>
    <w:p w:rsidR="00836885" w:rsidRPr="00836885" w:rsidRDefault="00836885" w:rsidP="00836885">
      <w:pPr>
        <w:pStyle w:val="a4"/>
        <w:spacing w:before="0" w:beforeAutospacing="0" w:after="0" w:afterAutospacing="0"/>
        <w:ind w:firstLine="709"/>
        <w:jc w:val="both"/>
        <w:textAlignment w:val="baseline"/>
      </w:pPr>
      <w:r w:rsidRPr="00836885">
        <w:t>Програма ООН з навколишнього середовища (ЮНЕП) створена у 1972 році після Стокгольмської конференції ООН з навколишнього середовища. ЮНЕП є основним органом ООН в сфері охорони навколишнього середовища, який покликаний забезпечувати керівництво і сприяти співробітництву в інтересах навколишнього середовища шляхом стимулювання діяльності, інформування та надання допомоги з метою покращення якості життя.</w:t>
      </w:r>
    </w:p>
    <w:p w:rsidR="00836885" w:rsidRPr="00836885" w:rsidRDefault="00836885" w:rsidP="00836885">
      <w:pPr>
        <w:pStyle w:val="a4"/>
        <w:spacing w:before="0" w:beforeAutospacing="0" w:after="0" w:afterAutospacing="0"/>
        <w:ind w:firstLine="709"/>
        <w:jc w:val="both"/>
        <w:textAlignment w:val="baseline"/>
      </w:pPr>
      <w:r w:rsidRPr="00836885">
        <w:rPr>
          <w:bdr w:val="none" w:sz="0" w:space="0" w:color="auto" w:frame="1"/>
        </w:rPr>
        <w:t>ЮНЕП визначає політику та координує діяльність з питань навколишнього середовища та відповідає за природоохоронний компонент сталого розвитку.</w:t>
      </w:r>
    </w:p>
    <w:p w:rsidR="00836885" w:rsidRPr="00836885" w:rsidRDefault="00836885" w:rsidP="00836885">
      <w:pPr>
        <w:pStyle w:val="a4"/>
        <w:spacing w:before="0" w:beforeAutospacing="0" w:after="0" w:afterAutospacing="0"/>
        <w:ind w:firstLine="709"/>
        <w:jc w:val="both"/>
        <w:textAlignment w:val="baseline"/>
      </w:pPr>
      <w:r w:rsidRPr="00836885">
        <w:rPr>
          <w:bdr w:val="none" w:sz="0" w:space="0" w:color="auto" w:frame="1"/>
        </w:rPr>
        <w:t xml:space="preserve">Мандат ЮНЕП визначається Резолюцією 2297 Генеральної Асамблеї ООН від 15.12.1972 р., рішеннями конференції ООН з навколишнього середовищу та розвитку 1992 р., </w:t>
      </w:r>
      <w:proofErr w:type="spellStart"/>
      <w:r w:rsidRPr="00836885">
        <w:rPr>
          <w:bdr w:val="none" w:sz="0" w:space="0" w:color="auto" w:frame="1"/>
        </w:rPr>
        <w:t>Найробською</w:t>
      </w:r>
      <w:proofErr w:type="spellEnd"/>
      <w:r w:rsidRPr="00836885">
        <w:rPr>
          <w:bdr w:val="none" w:sz="0" w:space="0" w:color="auto" w:frame="1"/>
        </w:rPr>
        <w:t xml:space="preserve"> декларацією про роль і мандат ЮНЕП 1997 р., а також </w:t>
      </w:r>
      <w:proofErr w:type="spellStart"/>
      <w:r w:rsidRPr="00836885">
        <w:rPr>
          <w:bdr w:val="none" w:sz="0" w:space="0" w:color="auto" w:frame="1"/>
        </w:rPr>
        <w:t>Мальмьонською</w:t>
      </w:r>
      <w:proofErr w:type="spellEnd"/>
      <w:r w:rsidRPr="00836885">
        <w:rPr>
          <w:bdr w:val="none" w:sz="0" w:space="0" w:color="auto" w:frame="1"/>
        </w:rPr>
        <w:t xml:space="preserve"> декларацією.</w:t>
      </w:r>
    </w:p>
    <w:p w:rsidR="00836885" w:rsidRPr="00836885" w:rsidRDefault="00836885" w:rsidP="00836885">
      <w:pPr>
        <w:pStyle w:val="3"/>
        <w:spacing w:before="0" w:line="240" w:lineRule="auto"/>
        <w:ind w:firstLine="709"/>
        <w:jc w:val="both"/>
        <w:textAlignment w:val="baseline"/>
        <w:rPr>
          <w:rFonts w:ascii="Times New Roman" w:hAnsi="Times New Roman" w:cs="Times New Roman"/>
          <w:b w:val="0"/>
          <w:bCs w:val="0"/>
          <w:color w:val="auto"/>
          <w:sz w:val="24"/>
          <w:szCs w:val="24"/>
        </w:rPr>
      </w:pPr>
      <w:r w:rsidRPr="00836885">
        <w:rPr>
          <w:rFonts w:ascii="Times New Roman" w:hAnsi="Times New Roman" w:cs="Times New Roman"/>
          <w:b w:val="0"/>
          <w:bCs w:val="0"/>
          <w:color w:val="auto"/>
          <w:sz w:val="24"/>
          <w:szCs w:val="24"/>
        </w:rPr>
        <w:t>Основними органами ЮНЕП є:</w:t>
      </w:r>
    </w:p>
    <w:p w:rsidR="00836885" w:rsidRPr="00836885" w:rsidRDefault="00836885" w:rsidP="00836885">
      <w:pPr>
        <w:numPr>
          <w:ilvl w:val="0"/>
          <w:numId w:val="11"/>
        </w:numPr>
        <w:spacing w:after="0" w:line="240" w:lineRule="auto"/>
        <w:ind w:left="0"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Рада керуючих ЮНЕП, в якій представлені 58 країн від 5 регіонів, що обираються Генеральною Асамблеєю на чотири роки, в т. ч. Україна з 1981 р.</w:t>
      </w:r>
    </w:p>
    <w:p w:rsidR="00836885" w:rsidRPr="00836885" w:rsidRDefault="00836885" w:rsidP="00836885">
      <w:pPr>
        <w:numPr>
          <w:ilvl w:val="0"/>
          <w:numId w:val="11"/>
        </w:numPr>
        <w:spacing w:after="0" w:line="240" w:lineRule="auto"/>
        <w:ind w:left="0"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Комітет постійних представників</w:t>
      </w:r>
    </w:p>
    <w:p w:rsidR="00836885" w:rsidRPr="00836885" w:rsidRDefault="00836885" w:rsidP="00836885">
      <w:pPr>
        <w:pStyle w:val="a4"/>
        <w:spacing w:before="0" w:beforeAutospacing="0" w:after="0" w:afterAutospacing="0"/>
        <w:ind w:firstLine="709"/>
        <w:jc w:val="both"/>
        <w:textAlignment w:val="baseline"/>
      </w:pPr>
      <w:r w:rsidRPr="00836885">
        <w:br/>
        <w:t>Діяльність ЮНЕП охоплює широке коло питань і проблем, пов’язаних з навколишнім середовищем та сталим розвитком. В даний час робочі програми ЮНЕП зосереджені на наступних основним напрямах:</w:t>
      </w:r>
    </w:p>
    <w:p w:rsidR="00836885" w:rsidRPr="00836885" w:rsidRDefault="00836885" w:rsidP="00836885">
      <w:pPr>
        <w:numPr>
          <w:ilvl w:val="0"/>
          <w:numId w:val="12"/>
        </w:numPr>
        <w:spacing w:after="0" w:line="240" w:lineRule="auto"/>
        <w:ind w:left="0"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Інформація, оцінка та вивчення стану навколишнього середовища, включаючи потенціал реагування на надзвичайні ситуації, а також посилення функцій завчасного оповіщення і оцінки.</w:t>
      </w:r>
    </w:p>
    <w:p w:rsidR="00836885" w:rsidRPr="00836885" w:rsidRDefault="00836885" w:rsidP="00836885">
      <w:pPr>
        <w:numPr>
          <w:ilvl w:val="0"/>
          <w:numId w:val="12"/>
        </w:numPr>
        <w:spacing w:after="0" w:line="240" w:lineRule="auto"/>
        <w:ind w:left="0"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Покращення координації діяльності конвенцій з питань охорони навколишнього природного середовища та розробка документів з екологічної політики.</w:t>
      </w:r>
    </w:p>
    <w:p w:rsidR="00836885" w:rsidRPr="00836885" w:rsidRDefault="00836885" w:rsidP="00836885">
      <w:pPr>
        <w:numPr>
          <w:ilvl w:val="0"/>
          <w:numId w:val="12"/>
        </w:numPr>
        <w:spacing w:after="0" w:line="240" w:lineRule="auto"/>
        <w:ind w:left="0"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t>Прісноводні ресурси.</w:t>
      </w:r>
    </w:p>
    <w:p w:rsidR="00836885" w:rsidRPr="00836885" w:rsidRDefault="00836885" w:rsidP="00836885">
      <w:pPr>
        <w:numPr>
          <w:ilvl w:val="0"/>
          <w:numId w:val="12"/>
        </w:numPr>
        <w:spacing w:after="0" w:line="240" w:lineRule="auto"/>
        <w:ind w:left="0" w:firstLine="709"/>
        <w:jc w:val="both"/>
        <w:textAlignment w:val="baseline"/>
        <w:rPr>
          <w:rFonts w:ascii="Times New Roman" w:hAnsi="Times New Roman" w:cs="Times New Roman"/>
          <w:sz w:val="24"/>
          <w:szCs w:val="24"/>
        </w:rPr>
      </w:pPr>
      <w:r w:rsidRPr="00836885">
        <w:rPr>
          <w:rFonts w:ascii="Times New Roman" w:hAnsi="Times New Roman" w:cs="Times New Roman"/>
          <w:sz w:val="24"/>
          <w:szCs w:val="24"/>
        </w:rPr>
        <w:lastRenderedPageBreak/>
        <w:t>Передача технологій та промисловість.</w:t>
      </w:r>
    </w:p>
    <w:p w:rsidR="00836885" w:rsidRPr="00836885" w:rsidRDefault="00836885" w:rsidP="00836885">
      <w:pPr>
        <w:pStyle w:val="a4"/>
        <w:spacing w:before="0" w:beforeAutospacing="0" w:after="0" w:afterAutospacing="0"/>
        <w:ind w:firstLine="709"/>
        <w:jc w:val="both"/>
        <w:textAlignment w:val="baseline"/>
      </w:pPr>
      <w:r w:rsidRPr="00836885">
        <w:rPr>
          <w:bdr w:val="none" w:sz="0" w:space="0" w:color="auto" w:frame="1"/>
        </w:rPr>
        <w:t>Серед </w:t>
      </w:r>
      <w:r w:rsidRPr="00836885">
        <w:rPr>
          <w:rStyle w:val="a6"/>
          <w:rFonts w:eastAsiaTheme="majorEastAsia"/>
          <w:bdr w:val="none" w:sz="0" w:space="0" w:color="auto" w:frame="1"/>
        </w:rPr>
        <w:t>д</w:t>
      </w:r>
      <w:r w:rsidRPr="00836885">
        <w:t>жерел фінансування</w:t>
      </w:r>
      <w:r w:rsidRPr="00836885">
        <w:rPr>
          <w:rStyle w:val="a6"/>
          <w:rFonts w:eastAsiaTheme="majorEastAsia"/>
          <w:bdr w:val="none" w:sz="0" w:space="0" w:color="auto" w:frame="1"/>
        </w:rPr>
        <w:t> </w:t>
      </w:r>
      <w:r w:rsidRPr="00836885">
        <w:rPr>
          <w:bdr w:val="none" w:sz="0" w:space="0" w:color="auto" w:frame="1"/>
        </w:rPr>
        <w:t>ЮНЕП можна виділити Регулярний бюджет ООН, Фонд з навколишнього середовища, цільові фонди та паралельні внески.</w:t>
      </w:r>
    </w:p>
    <w:p w:rsidR="00836885" w:rsidRPr="00836885" w:rsidRDefault="00836885" w:rsidP="00836885">
      <w:pPr>
        <w:pStyle w:val="a4"/>
        <w:spacing w:before="0" w:beforeAutospacing="0" w:after="0" w:afterAutospacing="0"/>
        <w:ind w:firstLine="709"/>
        <w:jc w:val="both"/>
        <w:textAlignment w:val="baseline"/>
      </w:pPr>
      <w:r w:rsidRPr="00836885">
        <w:rPr>
          <w:bdr w:val="none" w:sz="0" w:space="0" w:color="auto" w:frame="1"/>
        </w:rPr>
        <w:t xml:space="preserve">Під егідою ЮНЕП також перебувають секретаріати декількох природоохоронних конвенцій, зокрема секретаріат та фонд </w:t>
      </w:r>
      <w:proofErr w:type="spellStart"/>
      <w:r w:rsidRPr="00836885">
        <w:rPr>
          <w:bdr w:val="none" w:sz="0" w:space="0" w:color="auto" w:frame="1"/>
        </w:rPr>
        <w:t>Монреальського</w:t>
      </w:r>
      <w:proofErr w:type="spellEnd"/>
      <w:r w:rsidRPr="00836885">
        <w:rPr>
          <w:bdr w:val="none" w:sz="0" w:space="0" w:color="auto" w:frame="1"/>
        </w:rPr>
        <w:t xml:space="preserve"> протоколу, секретаріати Конвенції про міжнародну торгівлю видами дикої фауни і флори, що перебувають під загрозою зникнення, Конвенції про охорону біологічного різноманіття, Конвенції про збереження мігруючих видів диких тварин, Базельської конвенції про контроль за транскордонним перевезенням небезпечних відходів та їх видаленням та Стокгольмської конвенції про стійкі органічні забруднювачі.</w:t>
      </w:r>
    </w:p>
    <w:p w:rsidR="00836885" w:rsidRPr="00836885" w:rsidRDefault="00836885" w:rsidP="00836885">
      <w:pPr>
        <w:pStyle w:val="a4"/>
        <w:spacing w:before="0" w:beforeAutospacing="0" w:after="0" w:afterAutospacing="0"/>
        <w:ind w:firstLine="709"/>
        <w:jc w:val="both"/>
        <w:textAlignment w:val="baseline"/>
      </w:pPr>
      <w:r w:rsidRPr="00836885">
        <w:rPr>
          <w:bdr w:val="none" w:sz="0" w:space="0" w:color="auto" w:frame="1"/>
        </w:rPr>
        <w:t xml:space="preserve">Співробітництво з ЮНЕП відбувається також в рамках </w:t>
      </w:r>
      <w:proofErr w:type="spellStart"/>
      <w:r w:rsidRPr="00836885">
        <w:rPr>
          <w:bdr w:val="none" w:sz="0" w:space="0" w:color="auto" w:frame="1"/>
        </w:rPr>
        <w:t>„Ініціативи</w:t>
      </w:r>
      <w:proofErr w:type="spellEnd"/>
      <w:r w:rsidRPr="00836885">
        <w:rPr>
          <w:bdr w:val="none" w:sz="0" w:space="0" w:color="auto" w:frame="1"/>
        </w:rPr>
        <w:t xml:space="preserve"> з довкілля та </w:t>
      </w:r>
      <w:proofErr w:type="spellStart"/>
      <w:r w:rsidRPr="00836885">
        <w:rPr>
          <w:bdr w:val="none" w:sz="0" w:space="0" w:color="auto" w:frame="1"/>
        </w:rPr>
        <w:t>безпеки”</w:t>
      </w:r>
      <w:proofErr w:type="spellEnd"/>
      <w:r w:rsidRPr="00836885">
        <w:rPr>
          <w:bdr w:val="none" w:sz="0" w:space="0" w:color="auto" w:frame="1"/>
        </w:rPr>
        <w:t>. Ініціатива з довкілля та безпеки (ENVSEC) була створена на основі Меморандуму про взаєморозуміння між ЮНЕП, ПРООН та ОБСЄ від 14 листопада 2003 року. У 2006 році членами ENVSEC також стали ЄЕК ООН та Регіональний центр з питань довкілля для Центральної та Східної Європи (РЦПД). НАТО є асоційованим членом Ініціативи з 2004 року.</w:t>
      </w:r>
    </w:p>
    <w:p w:rsidR="00836885" w:rsidRPr="00836885" w:rsidRDefault="00836885" w:rsidP="00836885">
      <w:pPr>
        <w:pStyle w:val="a4"/>
        <w:spacing w:before="0" w:beforeAutospacing="0" w:after="0" w:afterAutospacing="0"/>
        <w:ind w:firstLine="709"/>
        <w:jc w:val="both"/>
        <w:textAlignment w:val="baseline"/>
      </w:pPr>
      <w:r w:rsidRPr="00836885">
        <w:rPr>
          <w:bdr w:val="none" w:sz="0" w:space="0" w:color="auto" w:frame="1"/>
        </w:rPr>
        <w:t>Головною метою ініціативи є допомога країнам у визначенні та розв’язанні проблем стабільності та безпеки, які виникають у зв’язку з питаннями навколишнього середовища, а також поліпшення загального взаєморозуміння шляхом зміцнення діалогу і співробітництва з екологічних питань.</w:t>
      </w:r>
    </w:p>
    <w:p w:rsidR="00836885" w:rsidRPr="00836885" w:rsidRDefault="00836885" w:rsidP="00836885">
      <w:pPr>
        <w:pStyle w:val="a4"/>
        <w:spacing w:before="0" w:beforeAutospacing="0" w:after="0" w:afterAutospacing="0"/>
        <w:ind w:firstLine="709"/>
        <w:jc w:val="both"/>
        <w:textAlignment w:val="baseline"/>
      </w:pPr>
    </w:p>
    <w:p w:rsidR="00836885" w:rsidRPr="00836885" w:rsidRDefault="00836885" w:rsidP="00836885">
      <w:pPr>
        <w:spacing w:after="0" w:line="240" w:lineRule="auto"/>
        <w:ind w:firstLine="709"/>
        <w:jc w:val="both"/>
        <w:rPr>
          <w:rFonts w:ascii="Times New Roman" w:hAnsi="Times New Roman" w:cs="Times New Roman"/>
          <w:sz w:val="24"/>
          <w:szCs w:val="24"/>
        </w:rPr>
      </w:pPr>
    </w:p>
    <w:sectPr w:rsidR="00836885" w:rsidRPr="00836885" w:rsidSect="00836885">
      <w:type w:val="continuous"/>
      <w:pgSz w:w="11906" w:h="16838"/>
      <w:pgMar w:top="510" w:right="510" w:bottom="510"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04C28"/>
    <w:multiLevelType w:val="multilevel"/>
    <w:tmpl w:val="AAF86D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5326C9C"/>
    <w:multiLevelType w:val="multilevel"/>
    <w:tmpl w:val="B96051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756225"/>
    <w:multiLevelType w:val="multilevel"/>
    <w:tmpl w:val="F98C0F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B4A6796"/>
    <w:multiLevelType w:val="multilevel"/>
    <w:tmpl w:val="5308C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41A06B6"/>
    <w:multiLevelType w:val="multilevel"/>
    <w:tmpl w:val="561E35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8C0652C"/>
    <w:multiLevelType w:val="multilevel"/>
    <w:tmpl w:val="26307B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2A73CD4"/>
    <w:multiLevelType w:val="multilevel"/>
    <w:tmpl w:val="FD846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CC7420D"/>
    <w:multiLevelType w:val="multilevel"/>
    <w:tmpl w:val="6D328F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2BD536D"/>
    <w:multiLevelType w:val="multilevel"/>
    <w:tmpl w:val="AD1EF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68B1E61"/>
    <w:multiLevelType w:val="multilevel"/>
    <w:tmpl w:val="2D626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EAF7B77"/>
    <w:multiLevelType w:val="multilevel"/>
    <w:tmpl w:val="992E0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1E6506D"/>
    <w:multiLevelType w:val="multilevel"/>
    <w:tmpl w:val="60287D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11"/>
  </w:num>
  <w:num w:numId="3">
    <w:abstractNumId w:val="4"/>
  </w:num>
  <w:num w:numId="4">
    <w:abstractNumId w:val="5"/>
  </w:num>
  <w:num w:numId="5">
    <w:abstractNumId w:val="8"/>
  </w:num>
  <w:num w:numId="6">
    <w:abstractNumId w:val="2"/>
  </w:num>
  <w:num w:numId="7">
    <w:abstractNumId w:val="10"/>
  </w:num>
  <w:num w:numId="8">
    <w:abstractNumId w:val="1"/>
  </w:num>
  <w:num w:numId="9">
    <w:abstractNumId w:val="0"/>
  </w:num>
  <w:num w:numId="10">
    <w:abstractNumId w:val="7"/>
  </w:num>
  <w:num w:numId="11">
    <w:abstractNumId w:val="9"/>
  </w:num>
  <w:num w:numId="12">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hyphenationZone w:val="425"/>
  <w:characterSpacingControl w:val="doNotCompress"/>
  <w:compat/>
  <w:rsids>
    <w:rsidRoot w:val="00836885"/>
    <w:rsid w:val="00636D99"/>
    <w:rsid w:val="0083688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6D99"/>
  </w:style>
  <w:style w:type="paragraph" w:styleId="1">
    <w:name w:val="heading 1"/>
    <w:basedOn w:val="a"/>
    <w:link w:val="10"/>
    <w:uiPriority w:val="9"/>
    <w:qFormat/>
    <w:rsid w:val="0083688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3">
    <w:name w:val="heading 3"/>
    <w:basedOn w:val="a"/>
    <w:next w:val="a"/>
    <w:link w:val="30"/>
    <w:uiPriority w:val="9"/>
    <w:semiHidden/>
    <w:unhideWhenUsed/>
    <w:qFormat/>
    <w:rsid w:val="00836885"/>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iPriority w:val="9"/>
    <w:semiHidden/>
    <w:unhideWhenUsed/>
    <w:qFormat/>
    <w:rsid w:val="00836885"/>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36885"/>
    <w:rPr>
      <w:rFonts w:ascii="Times New Roman" w:eastAsia="Times New Roman" w:hAnsi="Times New Roman" w:cs="Times New Roman"/>
      <w:b/>
      <w:bCs/>
      <w:kern w:val="36"/>
      <w:sz w:val="48"/>
      <w:szCs w:val="48"/>
      <w:lang w:eastAsia="uk-UA"/>
    </w:rPr>
  </w:style>
  <w:style w:type="character" w:styleId="a3">
    <w:name w:val="Hyperlink"/>
    <w:basedOn w:val="a0"/>
    <w:uiPriority w:val="99"/>
    <w:semiHidden/>
    <w:unhideWhenUsed/>
    <w:rsid w:val="00836885"/>
    <w:rPr>
      <w:color w:val="0000FF"/>
      <w:u w:val="single"/>
    </w:rPr>
  </w:style>
  <w:style w:type="paragraph" w:styleId="a4">
    <w:name w:val="Normal (Web)"/>
    <w:basedOn w:val="a"/>
    <w:uiPriority w:val="99"/>
    <w:semiHidden/>
    <w:unhideWhenUsed/>
    <w:rsid w:val="0083688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Strong"/>
    <w:basedOn w:val="a0"/>
    <w:uiPriority w:val="22"/>
    <w:qFormat/>
    <w:rsid w:val="00836885"/>
    <w:rPr>
      <w:b/>
      <w:bCs/>
    </w:rPr>
  </w:style>
  <w:style w:type="character" w:styleId="a6">
    <w:name w:val="Emphasis"/>
    <w:basedOn w:val="a0"/>
    <w:uiPriority w:val="20"/>
    <w:qFormat/>
    <w:rsid w:val="00836885"/>
    <w:rPr>
      <w:i/>
      <w:iCs/>
    </w:rPr>
  </w:style>
  <w:style w:type="character" w:customStyle="1" w:styleId="60">
    <w:name w:val="Заголовок 6 Знак"/>
    <w:basedOn w:val="a0"/>
    <w:link w:val="6"/>
    <w:uiPriority w:val="9"/>
    <w:semiHidden/>
    <w:rsid w:val="00836885"/>
    <w:rPr>
      <w:rFonts w:asciiTheme="majorHAnsi" w:eastAsiaTheme="majorEastAsia" w:hAnsiTheme="majorHAnsi" w:cstheme="majorBidi"/>
      <w:i/>
      <w:iCs/>
      <w:color w:val="243F60" w:themeColor="accent1" w:themeShade="7F"/>
    </w:rPr>
  </w:style>
  <w:style w:type="character" w:customStyle="1" w:styleId="30">
    <w:name w:val="Заголовок 3 Знак"/>
    <w:basedOn w:val="a0"/>
    <w:link w:val="3"/>
    <w:uiPriority w:val="9"/>
    <w:semiHidden/>
    <w:rsid w:val="00836885"/>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1009804">
      <w:bodyDiv w:val="1"/>
      <w:marLeft w:val="0"/>
      <w:marRight w:val="0"/>
      <w:marTop w:val="0"/>
      <w:marBottom w:val="0"/>
      <w:divBdr>
        <w:top w:val="none" w:sz="0" w:space="0" w:color="auto"/>
        <w:left w:val="none" w:sz="0" w:space="0" w:color="auto"/>
        <w:bottom w:val="none" w:sz="0" w:space="0" w:color="auto"/>
        <w:right w:val="none" w:sz="0" w:space="0" w:color="auto"/>
      </w:divBdr>
      <w:divsChild>
        <w:div w:id="1444962274">
          <w:marLeft w:val="0"/>
          <w:marRight w:val="0"/>
          <w:marTop w:val="0"/>
          <w:marBottom w:val="150"/>
          <w:divBdr>
            <w:top w:val="none" w:sz="0" w:space="0" w:color="auto"/>
            <w:left w:val="none" w:sz="0" w:space="0" w:color="auto"/>
            <w:bottom w:val="none" w:sz="0" w:space="0" w:color="auto"/>
            <w:right w:val="none" w:sz="0" w:space="0" w:color="auto"/>
          </w:divBdr>
        </w:div>
        <w:div w:id="19477509">
          <w:marLeft w:val="0"/>
          <w:marRight w:val="0"/>
          <w:marTop w:val="0"/>
          <w:marBottom w:val="0"/>
          <w:divBdr>
            <w:top w:val="none" w:sz="0" w:space="0" w:color="auto"/>
            <w:left w:val="none" w:sz="0" w:space="0" w:color="auto"/>
            <w:bottom w:val="none" w:sz="0" w:space="0" w:color="auto"/>
            <w:right w:val="none" w:sz="0" w:space="0" w:color="auto"/>
          </w:divBdr>
        </w:div>
        <w:div w:id="1131703140">
          <w:marLeft w:val="0"/>
          <w:marRight w:val="0"/>
          <w:marTop w:val="0"/>
          <w:marBottom w:val="450"/>
          <w:divBdr>
            <w:top w:val="none" w:sz="0" w:space="0" w:color="auto"/>
            <w:left w:val="none" w:sz="0" w:space="0" w:color="auto"/>
            <w:bottom w:val="none" w:sz="0" w:space="0" w:color="auto"/>
            <w:right w:val="none" w:sz="0" w:space="0" w:color="auto"/>
          </w:divBdr>
        </w:div>
      </w:divsChild>
    </w:div>
    <w:div w:id="109251133">
      <w:bodyDiv w:val="1"/>
      <w:marLeft w:val="0"/>
      <w:marRight w:val="0"/>
      <w:marTop w:val="0"/>
      <w:marBottom w:val="0"/>
      <w:divBdr>
        <w:top w:val="none" w:sz="0" w:space="0" w:color="auto"/>
        <w:left w:val="none" w:sz="0" w:space="0" w:color="auto"/>
        <w:bottom w:val="none" w:sz="0" w:space="0" w:color="auto"/>
        <w:right w:val="none" w:sz="0" w:space="0" w:color="auto"/>
      </w:divBdr>
      <w:divsChild>
        <w:div w:id="1732119572">
          <w:marLeft w:val="0"/>
          <w:marRight w:val="0"/>
          <w:marTop w:val="0"/>
          <w:marBottom w:val="200"/>
          <w:divBdr>
            <w:top w:val="none" w:sz="0" w:space="0" w:color="auto"/>
            <w:left w:val="none" w:sz="0" w:space="0" w:color="auto"/>
            <w:bottom w:val="none" w:sz="0" w:space="0" w:color="auto"/>
            <w:right w:val="none" w:sz="0" w:space="0" w:color="auto"/>
          </w:divBdr>
        </w:div>
        <w:div w:id="1715499062">
          <w:marLeft w:val="0"/>
          <w:marRight w:val="0"/>
          <w:marTop w:val="0"/>
          <w:marBottom w:val="0"/>
          <w:divBdr>
            <w:top w:val="none" w:sz="0" w:space="0" w:color="auto"/>
            <w:left w:val="none" w:sz="0" w:space="0" w:color="auto"/>
            <w:bottom w:val="none" w:sz="0" w:space="0" w:color="auto"/>
            <w:right w:val="none" w:sz="0" w:space="0" w:color="auto"/>
          </w:divBdr>
        </w:div>
        <w:div w:id="1279289201">
          <w:marLeft w:val="0"/>
          <w:marRight w:val="0"/>
          <w:marTop w:val="0"/>
          <w:marBottom w:val="600"/>
          <w:divBdr>
            <w:top w:val="none" w:sz="0" w:space="0" w:color="auto"/>
            <w:left w:val="none" w:sz="0" w:space="0" w:color="auto"/>
            <w:bottom w:val="none" w:sz="0" w:space="0" w:color="auto"/>
            <w:right w:val="none" w:sz="0" w:space="0" w:color="auto"/>
          </w:divBdr>
        </w:div>
      </w:divsChild>
    </w:div>
    <w:div w:id="189493023">
      <w:bodyDiv w:val="1"/>
      <w:marLeft w:val="0"/>
      <w:marRight w:val="0"/>
      <w:marTop w:val="0"/>
      <w:marBottom w:val="0"/>
      <w:divBdr>
        <w:top w:val="none" w:sz="0" w:space="0" w:color="auto"/>
        <w:left w:val="none" w:sz="0" w:space="0" w:color="auto"/>
        <w:bottom w:val="none" w:sz="0" w:space="0" w:color="auto"/>
        <w:right w:val="none" w:sz="0" w:space="0" w:color="auto"/>
      </w:divBdr>
      <w:divsChild>
        <w:div w:id="257981028">
          <w:marLeft w:val="0"/>
          <w:marRight w:val="0"/>
          <w:marTop w:val="0"/>
          <w:marBottom w:val="200"/>
          <w:divBdr>
            <w:top w:val="none" w:sz="0" w:space="0" w:color="auto"/>
            <w:left w:val="none" w:sz="0" w:space="0" w:color="auto"/>
            <w:bottom w:val="none" w:sz="0" w:space="0" w:color="auto"/>
            <w:right w:val="none" w:sz="0" w:space="0" w:color="auto"/>
          </w:divBdr>
        </w:div>
        <w:div w:id="1924097104">
          <w:marLeft w:val="0"/>
          <w:marRight w:val="0"/>
          <w:marTop w:val="0"/>
          <w:marBottom w:val="0"/>
          <w:divBdr>
            <w:top w:val="none" w:sz="0" w:space="0" w:color="auto"/>
            <w:left w:val="none" w:sz="0" w:space="0" w:color="auto"/>
            <w:bottom w:val="none" w:sz="0" w:space="0" w:color="auto"/>
            <w:right w:val="none" w:sz="0" w:space="0" w:color="auto"/>
          </w:divBdr>
        </w:div>
        <w:div w:id="163857673">
          <w:marLeft w:val="0"/>
          <w:marRight w:val="0"/>
          <w:marTop w:val="0"/>
          <w:marBottom w:val="600"/>
          <w:divBdr>
            <w:top w:val="none" w:sz="0" w:space="0" w:color="auto"/>
            <w:left w:val="none" w:sz="0" w:space="0" w:color="auto"/>
            <w:bottom w:val="none" w:sz="0" w:space="0" w:color="auto"/>
            <w:right w:val="none" w:sz="0" w:space="0" w:color="auto"/>
          </w:divBdr>
        </w:div>
      </w:divsChild>
    </w:div>
    <w:div w:id="749734322">
      <w:bodyDiv w:val="1"/>
      <w:marLeft w:val="0"/>
      <w:marRight w:val="0"/>
      <w:marTop w:val="0"/>
      <w:marBottom w:val="0"/>
      <w:divBdr>
        <w:top w:val="none" w:sz="0" w:space="0" w:color="auto"/>
        <w:left w:val="none" w:sz="0" w:space="0" w:color="auto"/>
        <w:bottom w:val="none" w:sz="0" w:space="0" w:color="auto"/>
        <w:right w:val="none" w:sz="0" w:space="0" w:color="auto"/>
      </w:divBdr>
      <w:divsChild>
        <w:div w:id="1724256716">
          <w:marLeft w:val="0"/>
          <w:marRight w:val="0"/>
          <w:marTop w:val="0"/>
          <w:marBottom w:val="200"/>
          <w:divBdr>
            <w:top w:val="none" w:sz="0" w:space="0" w:color="auto"/>
            <w:left w:val="none" w:sz="0" w:space="0" w:color="auto"/>
            <w:bottom w:val="none" w:sz="0" w:space="0" w:color="auto"/>
            <w:right w:val="none" w:sz="0" w:space="0" w:color="auto"/>
          </w:divBdr>
        </w:div>
        <w:div w:id="1435705873">
          <w:marLeft w:val="0"/>
          <w:marRight w:val="0"/>
          <w:marTop w:val="0"/>
          <w:marBottom w:val="0"/>
          <w:divBdr>
            <w:top w:val="none" w:sz="0" w:space="0" w:color="auto"/>
            <w:left w:val="none" w:sz="0" w:space="0" w:color="auto"/>
            <w:bottom w:val="none" w:sz="0" w:space="0" w:color="auto"/>
            <w:right w:val="none" w:sz="0" w:space="0" w:color="auto"/>
          </w:divBdr>
        </w:div>
        <w:div w:id="135801910">
          <w:marLeft w:val="0"/>
          <w:marRight w:val="0"/>
          <w:marTop w:val="0"/>
          <w:marBottom w:val="600"/>
          <w:divBdr>
            <w:top w:val="none" w:sz="0" w:space="0" w:color="auto"/>
            <w:left w:val="none" w:sz="0" w:space="0" w:color="auto"/>
            <w:bottom w:val="none" w:sz="0" w:space="0" w:color="auto"/>
            <w:right w:val="none" w:sz="0" w:space="0" w:color="auto"/>
          </w:divBdr>
        </w:div>
      </w:divsChild>
    </w:div>
    <w:div w:id="1089152646">
      <w:bodyDiv w:val="1"/>
      <w:marLeft w:val="0"/>
      <w:marRight w:val="0"/>
      <w:marTop w:val="0"/>
      <w:marBottom w:val="0"/>
      <w:divBdr>
        <w:top w:val="none" w:sz="0" w:space="0" w:color="auto"/>
        <w:left w:val="none" w:sz="0" w:space="0" w:color="auto"/>
        <w:bottom w:val="none" w:sz="0" w:space="0" w:color="auto"/>
        <w:right w:val="none" w:sz="0" w:space="0" w:color="auto"/>
      </w:divBdr>
      <w:divsChild>
        <w:div w:id="1415665746">
          <w:marLeft w:val="0"/>
          <w:marRight w:val="0"/>
          <w:marTop w:val="0"/>
          <w:marBottom w:val="200"/>
          <w:divBdr>
            <w:top w:val="none" w:sz="0" w:space="0" w:color="auto"/>
            <w:left w:val="none" w:sz="0" w:space="0" w:color="auto"/>
            <w:bottom w:val="none" w:sz="0" w:space="0" w:color="auto"/>
            <w:right w:val="none" w:sz="0" w:space="0" w:color="auto"/>
          </w:divBdr>
        </w:div>
        <w:div w:id="1441292834">
          <w:marLeft w:val="0"/>
          <w:marRight w:val="0"/>
          <w:marTop w:val="0"/>
          <w:marBottom w:val="0"/>
          <w:divBdr>
            <w:top w:val="none" w:sz="0" w:space="0" w:color="auto"/>
            <w:left w:val="none" w:sz="0" w:space="0" w:color="auto"/>
            <w:bottom w:val="none" w:sz="0" w:space="0" w:color="auto"/>
            <w:right w:val="none" w:sz="0" w:space="0" w:color="auto"/>
          </w:divBdr>
        </w:div>
        <w:div w:id="371270487">
          <w:marLeft w:val="0"/>
          <w:marRight w:val="0"/>
          <w:marTop w:val="0"/>
          <w:marBottom w:val="600"/>
          <w:divBdr>
            <w:top w:val="none" w:sz="0" w:space="0" w:color="auto"/>
            <w:left w:val="none" w:sz="0" w:space="0" w:color="auto"/>
            <w:bottom w:val="none" w:sz="0" w:space="0" w:color="auto"/>
            <w:right w:val="none" w:sz="0" w:space="0" w:color="auto"/>
          </w:divBdr>
        </w:div>
      </w:divsChild>
    </w:div>
    <w:div w:id="1334651567">
      <w:bodyDiv w:val="1"/>
      <w:marLeft w:val="0"/>
      <w:marRight w:val="0"/>
      <w:marTop w:val="0"/>
      <w:marBottom w:val="0"/>
      <w:divBdr>
        <w:top w:val="none" w:sz="0" w:space="0" w:color="auto"/>
        <w:left w:val="none" w:sz="0" w:space="0" w:color="auto"/>
        <w:bottom w:val="none" w:sz="0" w:space="0" w:color="auto"/>
        <w:right w:val="none" w:sz="0" w:space="0" w:color="auto"/>
      </w:divBdr>
      <w:divsChild>
        <w:div w:id="2127700278">
          <w:marLeft w:val="0"/>
          <w:marRight w:val="0"/>
          <w:marTop w:val="0"/>
          <w:marBottom w:val="200"/>
          <w:divBdr>
            <w:top w:val="none" w:sz="0" w:space="0" w:color="auto"/>
            <w:left w:val="none" w:sz="0" w:space="0" w:color="auto"/>
            <w:bottom w:val="none" w:sz="0" w:space="0" w:color="auto"/>
            <w:right w:val="none" w:sz="0" w:space="0" w:color="auto"/>
          </w:divBdr>
        </w:div>
        <w:div w:id="556859448">
          <w:marLeft w:val="0"/>
          <w:marRight w:val="0"/>
          <w:marTop w:val="0"/>
          <w:marBottom w:val="0"/>
          <w:divBdr>
            <w:top w:val="none" w:sz="0" w:space="0" w:color="auto"/>
            <w:left w:val="none" w:sz="0" w:space="0" w:color="auto"/>
            <w:bottom w:val="none" w:sz="0" w:space="0" w:color="auto"/>
            <w:right w:val="none" w:sz="0" w:space="0" w:color="auto"/>
          </w:divBdr>
        </w:div>
        <w:div w:id="1921788890">
          <w:marLeft w:val="0"/>
          <w:marRight w:val="0"/>
          <w:marTop w:val="0"/>
          <w:marBottom w:val="600"/>
          <w:divBdr>
            <w:top w:val="none" w:sz="0" w:space="0" w:color="auto"/>
            <w:left w:val="none" w:sz="0" w:space="0" w:color="auto"/>
            <w:bottom w:val="none" w:sz="0" w:space="0" w:color="auto"/>
            <w:right w:val="none" w:sz="0" w:space="0" w:color="auto"/>
          </w:divBdr>
        </w:div>
      </w:divsChild>
    </w:div>
    <w:div w:id="1601452448">
      <w:bodyDiv w:val="1"/>
      <w:marLeft w:val="0"/>
      <w:marRight w:val="0"/>
      <w:marTop w:val="0"/>
      <w:marBottom w:val="0"/>
      <w:divBdr>
        <w:top w:val="none" w:sz="0" w:space="0" w:color="auto"/>
        <w:left w:val="none" w:sz="0" w:space="0" w:color="auto"/>
        <w:bottom w:val="none" w:sz="0" w:space="0" w:color="auto"/>
        <w:right w:val="none" w:sz="0" w:space="0" w:color="auto"/>
      </w:divBdr>
      <w:divsChild>
        <w:div w:id="971523981">
          <w:marLeft w:val="0"/>
          <w:marRight w:val="0"/>
          <w:marTop w:val="0"/>
          <w:marBottom w:val="200"/>
          <w:divBdr>
            <w:top w:val="none" w:sz="0" w:space="0" w:color="auto"/>
            <w:left w:val="none" w:sz="0" w:space="0" w:color="auto"/>
            <w:bottom w:val="none" w:sz="0" w:space="0" w:color="auto"/>
            <w:right w:val="none" w:sz="0" w:space="0" w:color="auto"/>
          </w:divBdr>
        </w:div>
        <w:div w:id="171917387">
          <w:marLeft w:val="0"/>
          <w:marRight w:val="0"/>
          <w:marTop w:val="0"/>
          <w:marBottom w:val="0"/>
          <w:divBdr>
            <w:top w:val="none" w:sz="0" w:space="0" w:color="auto"/>
            <w:left w:val="none" w:sz="0" w:space="0" w:color="auto"/>
            <w:bottom w:val="none" w:sz="0" w:space="0" w:color="auto"/>
            <w:right w:val="none" w:sz="0" w:space="0" w:color="auto"/>
          </w:divBdr>
        </w:div>
        <w:div w:id="523176389">
          <w:marLeft w:val="0"/>
          <w:marRight w:val="0"/>
          <w:marTop w:val="0"/>
          <w:marBottom w:val="600"/>
          <w:divBdr>
            <w:top w:val="none" w:sz="0" w:space="0" w:color="auto"/>
            <w:left w:val="none" w:sz="0" w:space="0" w:color="auto"/>
            <w:bottom w:val="none" w:sz="0" w:space="0" w:color="auto"/>
            <w:right w:val="none" w:sz="0" w:space="0" w:color="auto"/>
          </w:divBdr>
        </w:div>
      </w:divsChild>
    </w:div>
    <w:div w:id="1742363086">
      <w:bodyDiv w:val="1"/>
      <w:marLeft w:val="0"/>
      <w:marRight w:val="0"/>
      <w:marTop w:val="0"/>
      <w:marBottom w:val="0"/>
      <w:divBdr>
        <w:top w:val="none" w:sz="0" w:space="0" w:color="auto"/>
        <w:left w:val="none" w:sz="0" w:space="0" w:color="auto"/>
        <w:bottom w:val="none" w:sz="0" w:space="0" w:color="auto"/>
        <w:right w:val="none" w:sz="0" w:space="0" w:color="auto"/>
      </w:divBdr>
      <w:divsChild>
        <w:div w:id="1429546239">
          <w:marLeft w:val="0"/>
          <w:marRight w:val="0"/>
          <w:marTop w:val="0"/>
          <w:marBottom w:val="200"/>
          <w:divBdr>
            <w:top w:val="none" w:sz="0" w:space="0" w:color="auto"/>
            <w:left w:val="none" w:sz="0" w:space="0" w:color="auto"/>
            <w:bottom w:val="none" w:sz="0" w:space="0" w:color="auto"/>
            <w:right w:val="none" w:sz="0" w:space="0" w:color="auto"/>
          </w:divBdr>
        </w:div>
        <w:div w:id="1282766958">
          <w:marLeft w:val="0"/>
          <w:marRight w:val="0"/>
          <w:marTop w:val="0"/>
          <w:marBottom w:val="0"/>
          <w:divBdr>
            <w:top w:val="none" w:sz="0" w:space="0" w:color="auto"/>
            <w:left w:val="none" w:sz="0" w:space="0" w:color="auto"/>
            <w:bottom w:val="none" w:sz="0" w:space="0" w:color="auto"/>
            <w:right w:val="none" w:sz="0" w:space="0" w:color="auto"/>
          </w:divBdr>
        </w:div>
        <w:div w:id="514811640">
          <w:marLeft w:val="0"/>
          <w:marRight w:val="0"/>
          <w:marTop w:val="0"/>
          <w:marBottom w:val="600"/>
          <w:divBdr>
            <w:top w:val="none" w:sz="0" w:space="0" w:color="auto"/>
            <w:left w:val="none" w:sz="0" w:space="0" w:color="auto"/>
            <w:bottom w:val="none" w:sz="0" w:space="0" w:color="auto"/>
            <w:right w:val="none" w:sz="0" w:space="0" w:color="auto"/>
          </w:divBdr>
        </w:div>
      </w:divsChild>
    </w:div>
    <w:div w:id="2049405400">
      <w:bodyDiv w:val="1"/>
      <w:marLeft w:val="0"/>
      <w:marRight w:val="0"/>
      <w:marTop w:val="0"/>
      <w:marBottom w:val="0"/>
      <w:divBdr>
        <w:top w:val="none" w:sz="0" w:space="0" w:color="auto"/>
        <w:left w:val="none" w:sz="0" w:space="0" w:color="auto"/>
        <w:bottom w:val="none" w:sz="0" w:space="0" w:color="auto"/>
        <w:right w:val="none" w:sz="0" w:space="0" w:color="auto"/>
      </w:divBdr>
      <w:divsChild>
        <w:div w:id="132987500">
          <w:marLeft w:val="0"/>
          <w:marRight w:val="0"/>
          <w:marTop w:val="0"/>
          <w:marBottom w:val="200"/>
          <w:divBdr>
            <w:top w:val="none" w:sz="0" w:space="0" w:color="auto"/>
            <w:left w:val="none" w:sz="0" w:space="0" w:color="auto"/>
            <w:bottom w:val="none" w:sz="0" w:space="0" w:color="auto"/>
            <w:right w:val="none" w:sz="0" w:space="0" w:color="auto"/>
          </w:divBdr>
        </w:div>
        <w:div w:id="1654599039">
          <w:marLeft w:val="0"/>
          <w:marRight w:val="0"/>
          <w:marTop w:val="0"/>
          <w:marBottom w:val="0"/>
          <w:divBdr>
            <w:top w:val="none" w:sz="0" w:space="0" w:color="auto"/>
            <w:left w:val="none" w:sz="0" w:space="0" w:color="auto"/>
            <w:bottom w:val="none" w:sz="0" w:space="0" w:color="auto"/>
            <w:right w:val="none" w:sz="0" w:space="0" w:color="auto"/>
          </w:divBdr>
        </w:div>
        <w:div w:id="978266131">
          <w:marLeft w:val="0"/>
          <w:marRight w:val="0"/>
          <w:marTop w:val="0"/>
          <w:marBottom w:val="6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9</Pages>
  <Words>21915</Words>
  <Characters>12492</Characters>
  <Application>Microsoft Office Word</Application>
  <DocSecurity>0</DocSecurity>
  <Lines>104</Lines>
  <Paragraphs>68</Paragraphs>
  <ScaleCrop>false</ScaleCrop>
  <Company/>
  <LinksUpToDate>false</LinksUpToDate>
  <CharactersWithSpaces>34339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dc:creator>
  <cp:lastModifiedBy>Александр</cp:lastModifiedBy>
  <cp:revision>1</cp:revision>
  <dcterms:created xsi:type="dcterms:W3CDTF">2019-12-02T18:10:00Z</dcterms:created>
  <dcterms:modified xsi:type="dcterms:W3CDTF">2019-12-02T18:16:00Z</dcterms:modified>
</cp:coreProperties>
</file>