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118D" w:rsidRPr="00A56684" w:rsidRDefault="0083118D" w:rsidP="0083118D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5B4">
        <w:rPr>
          <w:rFonts w:ascii="Times New Roman" w:hAnsi="Times New Roman" w:cs="Times New Roman"/>
          <w:b/>
          <w:sz w:val="28"/>
          <w:szCs w:val="28"/>
        </w:rPr>
        <w:t>5. Види і зміст контрольних заходів</w:t>
      </w:r>
      <w:r w:rsidRPr="00A566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18D" w:rsidRPr="00A56684" w:rsidRDefault="0083118D" w:rsidP="0083118D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410"/>
        <w:gridCol w:w="2409"/>
        <w:gridCol w:w="1136"/>
      </w:tblGrid>
      <w:tr w:rsidR="0083118D" w:rsidRPr="007D1851" w:rsidTr="00BD548D">
        <w:trPr>
          <w:trHeight w:val="5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2C1DC8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2C1DC8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2C1DC8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83118D" w:rsidRPr="007D1851" w:rsidTr="00BD548D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DC8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DC8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DC8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DC8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1DC8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83118D" w:rsidRPr="007D1851" w:rsidTr="00BD548D">
        <w:trPr>
          <w:trHeight w:val="343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83118D" w:rsidRPr="007D1851" w:rsidTr="00BD548D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t xml:space="preserve">Практичне 1-5 – від 0 до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2C1DC8">
              <w:rPr>
                <w:rFonts w:ascii="Times New Roman" w:hAnsi="Times New Roman" w:cs="Times New Roman"/>
                <w:lang w:eastAsia="en-US"/>
              </w:rPr>
              <w:t xml:space="preserve"> б.</w:t>
            </w:r>
          </w:p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Підготовка теоретичних питань і робота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t>Відповідь на практичному занятті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t xml:space="preserve"> 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20</w:t>
            </w:r>
          </w:p>
        </w:tc>
      </w:tr>
      <w:tr w:rsidR="0083118D" w:rsidRPr="007D1851" w:rsidTr="00BD548D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Самостійна робота 1-</w:t>
            </w:r>
            <w:r>
              <w:rPr>
                <w:rFonts w:ascii="Times New Roman" w:hAnsi="Times New Roman" w:cs="Times New Roman"/>
              </w:rPr>
              <w:t>8</w:t>
            </w:r>
            <w:r w:rsidRPr="002C1DC8">
              <w:rPr>
                <w:rFonts w:ascii="Times New Roman" w:hAnsi="Times New Roman" w:cs="Times New Roman"/>
              </w:rPr>
              <w:t xml:space="preserve"> – від 0 до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Pr="002C1DC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Підготовка теоретичних питань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t>Відповідь на теоретичне питання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24</w:t>
            </w:r>
          </w:p>
        </w:tc>
      </w:tr>
      <w:tr w:rsidR="0083118D" w:rsidRPr="007D1851" w:rsidTr="00BD548D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Тестування за результатами вивчення змістовного модуля (</w:t>
            </w:r>
            <w:r>
              <w:rPr>
                <w:rFonts w:ascii="Times New Roman" w:hAnsi="Times New Roman" w:cs="Times New Roman"/>
              </w:rPr>
              <w:t>2</w:t>
            </w:r>
            <w:r w:rsidRPr="002C1DC8">
              <w:rPr>
                <w:rFonts w:ascii="Times New Roman" w:hAnsi="Times New Roman" w:cs="Times New Roman"/>
              </w:rPr>
              <w:t xml:space="preserve">) – від 1 до </w:t>
            </w:r>
            <w:r>
              <w:rPr>
                <w:rFonts w:ascii="Times New Roman" w:hAnsi="Times New Roman" w:cs="Times New Roman"/>
              </w:rPr>
              <w:t>8</w:t>
            </w:r>
            <w:r w:rsidRPr="002C1DC8"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Виконання тесту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303CA5" w:rsidRDefault="0083118D" w:rsidP="00BD548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3955B4">
              <w:rPr>
                <w:rFonts w:ascii="Times New Roman" w:hAnsi="Times New Roman" w:cs="Times New Roman"/>
                <w:lang w:eastAsia="en-US"/>
              </w:rPr>
              <w:t>Кожен тест містить 20 запитань, що охоплюють основні поняття та категорії певного змістового модуля.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303CA5" w:rsidRDefault="0083118D" w:rsidP="00BD548D">
            <w:pPr>
              <w:rPr>
                <w:rFonts w:ascii="Times New Roman" w:hAnsi="Times New Roman" w:cs="Times New Roman"/>
                <w:highlight w:val="yellow"/>
              </w:rPr>
            </w:pPr>
            <w:r w:rsidRPr="00A00B65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16</w:t>
            </w:r>
          </w:p>
        </w:tc>
      </w:tr>
      <w:tr w:rsidR="0083118D" w:rsidRPr="007D1851" w:rsidTr="00BD548D">
        <w:trPr>
          <w:trHeight w:val="3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 xml:space="preserve">Альтернативні завдання (неформальна/ </w:t>
            </w:r>
            <w:proofErr w:type="spellStart"/>
            <w:r w:rsidRPr="002C1DC8">
              <w:rPr>
                <w:rFonts w:ascii="Times New Roman" w:hAnsi="Times New Roman" w:cs="Times New Roman"/>
              </w:rPr>
              <w:t>інформальна</w:t>
            </w:r>
            <w:proofErr w:type="spellEnd"/>
            <w:r w:rsidRPr="002C1DC8">
              <w:rPr>
                <w:rFonts w:ascii="Times New Roman" w:hAnsi="Times New Roman" w:cs="Times New Roman"/>
              </w:rPr>
              <w:t xml:space="preserve"> освіта)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Студент(ка) можуть запропонувати свій варіант завдання з тематики змістовних модулів (1-4), який потрібно узгодити з викладачем (кою) курсу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t>Альтернативне завдання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C1DC8">
              <w:rPr>
                <w:rFonts w:ascii="Times New Roman" w:hAnsi="Times New Roman" w:cs="Times New Roman"/>
                <w:bCs/>
                <w:lang w:eastAsia="en-US"/>
              </w:rPr>
              <w:t>Відповідно до виду роботи</w:t>
            </w:r>
          </w:p>
        </w:tc>
      </w:tr>
      <w:tr w:rsidR="0083118D" w:rsidRPr="007D1851" w:rsidTr="00BD54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83118D" w:rsidRPr="007D1851" w:rsidTr="00BD548D"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2C1DC8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83118D" w:rsidRPr="007D1851" w:rsidTr="00BD548D">
        <w:trPr>
          <w:trHeight w:val="13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en-US"/>
              </w:rPr>
            </w:pPr>
            <w:r w:rsidRPr="002C1DC8">
              <w:rPr>
                <w:rFonts w:ascii="Times New Roman" w:hAnsi="Times New Roman" w:cs="Times New Roman"/>
                <w:bCs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Питання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підготовки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відповідно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до тематики занять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15</w:t>
            </w:r>
          </w:p>
        </w:tc>
      </w:tr>
      <w:tr w:rsidR="0083118D" w:rsidRPr="007D1851" w:rsidTr="00BD548D">
        <w:trPr>
          <w:trHeight w:val="56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D" w:rsidRPr="002C1DC8" w:rsidRDefault="0083118D" w:rsidP="00BD548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Тестування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за тематикою 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</w:rPr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15</w:t>
            </w:r>
          </w:p>
        </w:tc>
      </w:tr>
      <w:tr w:rsidR="0083118D" w:rsidRPr="007D1851" w:rsidTr="00BD548D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8D" w:rsidRPr="002C1DC8" w:rsidRDefault="0083118D" w:rsidP="00BD548D">
            <w:pPr>
              <w:suppressAutoHyphens w:val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2C1DC8">
              <w:rPr>
                <w:rFonts w:ascii="Times New Roman" w:hAnsi="Times New Roman" w:cs="Times New Roman"/>
                <w:bCs/>
                <w:lang w:eastAsia="en-US"/>
              </w:rPr>
              <w:t>Проєкт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</w:rPr>
            </w:pPr>
            <w:r w:rsidRPr="002C1DC8">
              <w:rPr>
                <w:rFonts w:ascii="Times New Roman" w:hAnsi="Times New Roman" w:cs="Times New Roman"/>
              </w:rPr>
              <w:t>Тв</w:t>
            </w:r>
            <w:r>
              <w:rPr>
                <w:rFonts w:ascii="Times New Roman" w:hAnsi="Times New Roman" w:cs="Times New Roman"/>
              </w:rPr>
              <w:t>о</w:t>
            </w:r>
            <w:r w:rsidRPr="002C1DC8">
              <w:rPr>
                <w:rFonts w:ascii="Times New Roman" w:hAnsi="Times New Roman" w:cs="Times New Roman"/>
              </w:rPr>
              <w:t xml:space="preserve">рче (евристичне) завдання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r w:rsidRPr="002C1DC8">
              <w:rPr>
                <w:rFonts w:ascii="Times New Roman" w:hAnsi="Times New Roman" w:cs="Times New Roman"/>
                <w:lang w:val="ru-RU"/>
              </w:rPr>
              <w:t xml:space="preserve">Студент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синтезує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знання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формує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нові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смисли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гіпотези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власну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дослідницьку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позицію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;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поєднує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теоретичний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практичний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аналіз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83118D" w:rsidRPr="002C1DC8" w:rsidRDefault="0083118D" w:rsidP="00BD548D">
            <w:pPr>
              <w:autoSpaceDE w:val="0"/>
              <w:autoSpaceDN w:val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Написання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есе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lastRenderedPageBreak/>
              <w:t>рефлексійного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огляду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дослідницької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міні-роботи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створення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проєкту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C1DC8">
              <w:rPr>
                <w:rFonts w:ascii="Times New Roman" w:hAnsi="Times New Roman" w:cs="Times New Roman"/>
                <w:lang w:val="ru-RU"/>
              </w:rPr>
              <w:t>міні-лекції</w:t>
            </w:r>
            <w:proofErr w:type="spellEnd"/>
            <w:r w:rsidRPr="002C1DC8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C1DC8">
              <w:rPr>
                <w:rFonts w:ascii="Times New Roman" w:hAnsi="Times New Roman" w:cs="Times New Roman"/>
                <w:lang w:eastAsia="en-US"/>
              </w:rPr>
              <w:lastRenderedPageBreak/>
              <w:t>Згідно критеріям оцінювання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2C1DC8"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83118D" w:rsidRPr="00A56684" w:rsidTr="00BD548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2C1DC8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C1DC8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8D" w:rsidRPr="002C1DC8" w:rsidRDefault="0083118D" w:rsidP="00BD548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2C1DC8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83118D" w:rsidRPr="00A56684" w:rsidRDefault="0083118D" w:rsidP="0083118D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83118D" w:rsidRPr="00A56684" w:rsidRDefault="0083118D" w:rsidP="0083118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770B7">
        <w:rPr>
          <w:rFonts w:ascii="Times New Roman" w:hAnsi="Times New Roman" w:cs="Times New Roman"/>
          <w:b/>
          <w:bCs/>
          <w:iCs/>
          <w:sz w:val="28"/>
          <w:szCs w:val="28"/>
        </w:rPr>
        <w:t>Критерії оцінювання</w:t>
      </w:r>
    </w:p>
    <w:p w:rsidR="0083118D" w:rsidRPr="00A56684" w:rsidRDefault="0083118D" w:rsidP="0083118D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2"/>
        <w:gridCol w:w="6997"/>
      </w:tblGrid>
      <w:tr w:rsidR="0083118D" w:rsidRPr="00D269C6" w:rsidTr="00BD548D">
        <w:tc>
          <w:tcPr>
            <w:tcW w:w="0" w:type="auto"/>
          </w:tcPr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929FF">
              <w:rPr>
                <w:rFonts w:ascii="Times New Roman" w:hAnsi="Times New Roman" w:cs="Times New Roman"/>
                <w:b/>
              </w:rPr>
              <w:t>Вид</w:t>
            </w:r>
            <w:proofErr w:type="spellEnd"/>
            <w:r w:rsidRPr="00E929F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929FF">
              <w:rPr>
                <w:rFonts w:ascii="Times New Roman" w:hAnsi="Times New Roman" w:cs="Times New Roman"/>
                <w:b/>
              </w:rPr>
              <w:t>Бали</w:t>
            </w:r>
            <w:proofErr w:type="spellEnd"/>
          </w:p>
        </w:tc>
      </w:tr>
      <w:tr w:rsidR="0083118D" w:rsidRPr="00D269C6" w:rsidTr="00BD548D">
        <w:tc>
          <w:tcPr>
            <w:tcW w:w="0" w:type="auto"/>
          </w:tcPr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теоретичні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змістовних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модулів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практичні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заняття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929FF">
              <w:rPr>
                <w:rFonts w:ascii="Times New Roman" w:hAnsi="Times New Roman" w:cs="Times New Roman"/>
                <w:bCs/>
              </w:rPr>
              <w:t>): 0–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</w:p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26BD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високий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)</w:t>
            </w:r>
            <w:r w:rsidRPr="00A926BD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глибоке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системне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теоретичного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вільно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володіє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поняттями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міфопоетики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архетипної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критики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структурного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міфу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самостійно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аналізує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художні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тексти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урахуванням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підходів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архетипного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структурного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герменевтичного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культурологічного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повна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аргументована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літератури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української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світової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),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інтертекстуальні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паралелі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грамотна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академічно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точна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стилістично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виразна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Відчутна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наукова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культура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здатність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інтерпретації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синтезу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знань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A926B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26BD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достатній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)</w:t>
            </w:r>
            <w:r w:rsidRPr="00A926BD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загалом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добре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теоретичному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матеріалі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ключових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підходів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допускає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неповно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теорією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прикладами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послідовна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аргументована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є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літератури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вони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завжди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поглиблюють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правильна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стилістично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нейтральна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іноді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точності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Загалом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виявлено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аналітичне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глибшої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інтерпретації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A926B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26BD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середній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)</w:t>
            </w:r>
            <w:r w:rsidRPr="00A926BD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розуміє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поверхове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пояснення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підходів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пов’язані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темою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спостерігається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відтворення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пам’яті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самостійного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Терміни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вживаються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завжди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коректно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зрозуміле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граматичними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стилістичними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огріхами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Демонструється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репродуктивний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знань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A926B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26BD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низький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)</w:t>
            </w:r>
            <w:r w:rsidRPr="00A926BD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знає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терміни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фрагменти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може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зв’язно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пояснити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суть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положень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неповна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несистемна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прикладів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фактологічними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помилками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неточна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неструктурована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Виявляється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мінімальне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здатності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застосувати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практиці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A926B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926BD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відсутність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нульова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активність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)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темі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lastRenderedPageBreak/>
              <w:t>орієнтується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змісті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засвоєння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базових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категорій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міфопоетики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самостійні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926BD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A926B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3118D" w:rsidRPr="00D269C6" w:rsidTr="00BD548D">
        <w:tc>
          <w:tcPr>
            <w:tcW w:w="0" w:type="auto"/>
          </w:tcPr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тести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20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питань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): 0–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тест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8"/>
              <w:gridCol w:w="2281"/>
              <w:gridCol w:w="826"/>
            </w:tblGrid>
            <w:tr w:rsidR="0083118D" w:rsidRPr="00D04567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90–100 %</w:t>
                  </w: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(18–20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Високий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8 балів</w:t>
                  </w:r>
                </w:p>
              </w:tc>
            </w:tr>
          </w:tbl>
          <w:p w:rsidR="0083118D" w:rsidRPr="00D04567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8"/>
              <w:gridCol w:w="2423"/>
              <w:gridCol w:w="1066"/>
            </w:tblGrid>
            <w:tr w:rsidR="0083118D" w:rsidRPr="00D04567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75–89 %</w:t>
                  </w: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(15–17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Достатній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6–7 балів</w:t>
                  </w:r>
                </w:p>
              </w:tc>
            </w:tr>
          </w:tbl>
          <w:p w:rsidR="0083118D" w:rsidRPr="00D04567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8"/>
              <w:gridCol w:w="2331"/>
              <w:gridCol w:w="1066"/>
            </w:tblGrid>
            <w:tr w:rsidR="0083118D" w:rsidRPr="00D04567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60–74 %</w:t>
                  </w: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(12–14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Середній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4–5 балів</w:t>
                  </w:r>
                </w:p>
              </w:tc>
            </w:tr>
          </w:tbl>
          <w:p w:rsidR="0083118D" w:rsidRPr="00D04567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8"/>
              <w:gridCol w:w="2272"/>
              <w:gridCol w:w="1008"/>
            </w:tblGrid>
            <w:tr w:rsidR="0083118D" w:rsidRPr="00D04567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40–59 %</w:t>
                  </w: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(8–11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Низький рівень знань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2–3 бали</w:t>
                  </w:r>
                </w:p>
              </w:tc>
            </w:tr>
          </w:tbl>
          <w:p w:rsidR="0083118D" w:rsidRPr="00D04567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2283"/>
              <w:gridCol w:w="870"/>
            </w:tblGrid>
            <w:tr w:rsidR="0083118D" w:rsidRPr="00D04567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менше 40 %</w:t>
                  </w: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(0–7 правильних)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Незадовільний рівень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D04567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D0456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0–1 бал</w:t>
                  </w:r>
                </w:p>
              </w:tc>
            </w:tr>
          </w:tbl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3118D" w:rsidRPr="00D269C6" w:rsidTr="00BD548D">
        <w:tc>
          <w:tcPr>
            <w:tcW w:w="0" w:type="auto"/>
          </w:tcPr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самостійної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) – 0–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</w:t>
            </w:r>
            <w:r>
              <w:rPr>
                <w:rFonts w:ascii="Times New Roman" w:hAnsi="Times New Roman" w:cs="Times New Roman"/>
                <w:bCs/>
              </w:rPr>
              <w:t>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)</w:t>
            </w:r>
          </w:p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04567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високий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)</w:t>
            </w:r>
            <w:r w:rsidRPr="00D04567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самостійно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глибоке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додаткові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структуровані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прикладами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власними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висновками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охайне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дотримано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академічних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D04567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04567">
              <w:rPr>
                <w:rFonts w:ascii="Times New Roman" w:hAnsi="Times New Roman" w:cs="Times New Roman"/>
                <w:bCs/>
              </w:rPr>
              <w:t xml:space="preserve">2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достатній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)</w:t>
            </w:r>
            <w:r w:rsidRPr="00D04567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основному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правильно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орієнтується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матеріалі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узагальнена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наведено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вибірково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вимогам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D04567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04567">
              <w:rPr>
                <w:rFonts w:ascii="Times New Roman" w:hAnsi="Times New Roman" w:cs="Times New Roman"/>
                <w:bCs/>
              </w:rPr>
              <w:t xml:space="preserve">1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бал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середній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)</w:t>
            </w:r>
            <w:r w:rsidRPr="00D04567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поверхово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фрагментарна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аналітична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частина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свідчить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про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мінімальне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посилання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D04567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04567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нульовий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)</w:t>
            </w:r>
            <w:r w:rsidRPr="00D04567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Завдання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темі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засвоєння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04567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D0456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3118D" w:rsidRPr="00D269C6" w:rsidTr="00BD548D">
        <w:tc>
          <w:tcPr>
            <w:tcW w:w="0" w:type="auto"/>
          </w:tcPr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заліку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929FF">
              <w:rPr>
                <w:rFonts w:ascii="Times New Roman" w:hAnsi="Times New Roman" w:cs="Times New Roman"/>
                <w:bCs/>
              </w:rPr>
              <w:t>(0–1</w:t>
            </w:r>
            <w:r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)</w:t>
            </w:r>
          </w:p>
          <w:p w:rsidR="0083118D" w:rsidRPr="00E929FF" w:rsidRDefault="0083118D" w:rsidP="00BD54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E78">
              <w:rPr>
                <w:rFonts w:ascii="Times New Roman" w:hAnsi="Times New Roman" w:cs="Times New Roman"/>
                <w:bCs/>
              </w:rPr>
              <w:t xml:space="preserve">13–15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Високий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відмінно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)</w:t>
            </w:r>
            <w:r w:rsidRPr="00F20E78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глибокі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системні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самостійні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усього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логічно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структурує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використовує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наукову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термінологію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теорії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концепції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міфопоетики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Наводить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влучні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художніх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творів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цитати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інтертекстуальні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паралелі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виявляє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аналітичне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критичне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асоціативне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граматично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правильна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академічно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точна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стилістично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виразна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є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повною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аргументованою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творчою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F20E78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E78">
              <w:rPr>
                <w:rFonts w:ascii="Times New Roman" w:hAnsi="Times New Roman" w:cs="Times New Roman"/>
                <w:bCs/>
              </w:rPr>
              <w:t xml:space="preserve">10–12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Достатній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добре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)</w:t>
            </w:r>
            <w:r w:rsidRPr="00F20E78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знає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теорії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питання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загалом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правильно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допускає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окремі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неточності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завжди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глибоко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аргументує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літератури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вони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узагальнені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послідовна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достатньо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структурована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хоча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завжди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відображає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повноту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зв’язків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теорією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практикою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правильна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академічна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іноді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менш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виразна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F20E78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E78">
              <w:rPr>
                <w:rFonts w:ascii="Times New Roman" w:hAnsi="Times New Roman" w:cs="Times New Roman"/>
                <w:bCs/>
              </w:rPr>
              <w:t xml:space="preserve">7–9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Середній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задовільно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)</w:t>
            </w:r>
            <w:r w:rsidRPr="00F20E78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свідчить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загальне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однак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фрагментарні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неповні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трапляються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використанні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термінів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порушена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наводяться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рідко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поверхово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переважно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репродуктивна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глибокого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lastRenderedPageBreak/>
              <w:t>аналізу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граматично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правильна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стилістично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бідна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F20E78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E78">
              <w:rPr>
                <w:rFonts w:ascii="Times New Roman" w:hAnsi="Times New Roman" w:cs="Times New Roman"/>
                <w:bCs/>
              </w:rPr>
              <w:t xml:space="preserve">4–6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Низький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незадовільно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можливістю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перескладання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)</w:t>
            </w:r>
            <w:r w:rsidRPr="00F20E78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неповна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поверхова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розкриває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понять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Матеріал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відтворюється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механічно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суті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випадкові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порушена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аналітичний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підхід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маловиразна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помилками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F20E78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E78">
              <w:rPr>
                <w:rFonts w:ascii="Times New Roman" w:hAnsi="Times New Roman" w:cs="Times New Roman"/>
                <w:bCs/>
              </w:rPr>
              <w:t xml:space="preserve">1–3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Низький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рівень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незадовільно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)</w:t>
            </w:r>
            <w:r w:rsidRPr="00F20E78">
              <w:rPr>
                <w:rFonts w:ascii="Times New Roman" w:hAnsi="Times New Roman" w:cs="Times New Roman"/>
                <w:bCs/>
              </w:rPr>
              <w:tab/>
            </w: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виявляє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незнання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більшості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тем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плутає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основні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поняття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володіє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базовими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термінами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несистемна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хаотична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суті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запитання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приклади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між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теорією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текстом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F20E78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20E78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20E78">
              <w:rPr>
                <w:rFonts w:ascii="Times New Roman" w:hAnsi="Times New Roman" w:cs="Times New Roman"/>
                <w:bCs/>
              </w:rPr>
              <w:tab/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Відсутність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відповіді</w:t>
            </w:r>
            <w:proofErr w:type="spellEnd"/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Студент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ка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відповів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ла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відповідь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темою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навчального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20E78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F20E7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83118D" w:rsidRPr="00D269C6" w:rsidTr="00BD548D">
        <w:tc>
          <w:tcPr>
            <w:tcW w:w="0" w:type="auto"/>
          </w:tcPr>
          <w:p w:rsidR="0083118D" w:rsidRPr="00E929FF" w:rsidRDefault="0083118D" w:rsidP="00BD548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lastRenderedPageBreak/>
              <w:t>Критерії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тестового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контролю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екзамен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): 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тест</w:t>
            </w:r>
            <w:proofErr w:type="spellEnd"/>
          </w:p>
        </w:tc>
        <w:tc>
          <w:tcPr>
            <w:tcW w:w="0" w:type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3"/>
              <w:gridCol w:w="3626"/>
              <w:gridCol w:w="792"/>
            </w:tblGrid>
            <w:tr w:rsidR="0083118D" w:rsidRPr="00823240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90–100 %</w:t>
                  </w: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Високий рівень знань, повне і системне розуміння матеріалу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15 балів</w:t>
                  </w:r>
                </w:p>
              </w:tc>
            </w:tr>
          </w:tbl>
          <w:p w:rsidR="0083118D" w:rsidRPr="00823240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3518"/>
              <w:gridCol w:w="965"/>
            </w:tblGrid>
            <w:tr w:rsidR="0083118D" w:rsidRPr="00823240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80–89 %</w:t>
                  </w: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Достатній рівень знань, незначні неточності або пропуски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12–14 балів</w:t>
                  </w:r>
                </w:p>
              </w:tc>
            </w:tr>
          </w:tbl>
          <w:p w:rsidR="0083118D" w:rsidRPr="00823240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4"/>
              <w:gridCol w:w="3857"/>
              <w:gridCol w:w="850"/>
            </w:tblGrid>
            <w:tr w:rsidR="0083118D" w:rsidRPr="00823240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70–79 %</w:t>
                  </w: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Середній рівень, знання в основному правильні, але частково фрагментарні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9–11 балів</w:t>
                  </w:r>
                </w:p>
              </w:tc>
            </w:tr>
          </w:tbl>
          <w:p w:rsidR="0083118D" w:rsidRPr="00823240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8"/>
              <w:gridCol w:w="3586"/>
              <w:gridCol w:w="857"/>
            </w:tblGrid>
            <w:tr w:rsidR="0083118D" w:rsidRPr="00823240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60–69 %</w:t>
                  </w: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Задовільний рівень, базове розуміння теми, є прогалини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6–8 балів</w:t>
                  </w:r>
                </w:p>
              </w:tc>
            </w:tr>
          </w:tbl>
          <w:p w:rsidR="0083118D" w:rsidRPr="00823240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4"/>
              <w:gridCol w:w="3291"/>
              <w:gridCol w:w="906"/>
            </w:tblGrid>
            <w:tr w:rsidR="0083118D" w:rsidRPr="00823240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50–59 %</w:t>
                  </w: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Низький рівень, поверхове знання матеріалу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3–5 балів</w:t>
                  </w:r>
                </w:p>
              </w:tc>
            </w:tr>
          </w:tbl>
          <w:p w:rsidR="0083118D" w:rsidRPr="00823240" w:rsidRDefault="0083118D" w:rsidP="00BD548D">
            <w:pPr>
              <w:widowControl/>
              <w:suppressAutoHyphens w:val="0"/>
              <w:rPr>
                <w:rFonts w:ascii="Times New Roman" w:eastAsia="Times New Roman" w:hAnsi="Times New Roman" w:cs="Times New Roman"/>
                <w:vanish/>
                <w:kern w:val="0"/>
                <w:lang w:eastAsia="uk-UA" w:bidi="ar-S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3791"/>
              <w:gridCol w:w="748"/>
            </w:tblGrid>
            <w:tr w:rsidR="0083118D" w:rsidRPr="00823240" w:rsidTr="00BD54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менше 50 %</w:t>
                  </w: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 xml:space="preserve"> правильних відповідей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  <w:t>Незадовільний рівень, відсутність розуміння основних положень курсу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118D" w:rsidRPr="00823240" w:rsidRDefault="0083118D" w:rsidP="00BD548D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lang w:eastAsia="uk-UA" w:bidi="ar-SA"/>
                    </w:rPr>
                  </w:pPr>
                  <w:r w:rsidRPr="0082324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uk-UA" w:bidi="ar-SA"/>
                    </w:rPr>
                    <w:t>0–2 бали</w:t>
                  </w:r>
                </w:p>
              </w:tc>
            </w:tr>
          </w:tbl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3118D" w:rsidRPr="00A56684" w:rsidTr="00BD548D">
        <w:tc>
          <w:tcPr>
            <w:tcW w:w="0" w:type="auto"/>
          </w:tcPr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Критерії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оцінювання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проєктної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роботи</w:t>
            </w:r>
            <w:proofErr w:type="spellEnd"/>
          </w:p>
        </w:tc>
        <w:tc>
          <w:tcPr>
            <w:tcW w:w="0" w:type="auto"/>
          </w:tcPr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10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науковому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глибоким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теоретичним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підґрунтям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власною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аналітичною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позицією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переконлива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сучасні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методологічні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структуралізм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герменевтика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наратологія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феміністична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критика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постколоніальний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деколоніальний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тощо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міждисциплінарні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зв’язки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література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філософія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культура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психологія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цифрові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гуманітарні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студії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).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оригінальна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глибоко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продумана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авторські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Дотримано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норм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стиль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академічний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мовлення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грамотне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виразне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структуроване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9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теоретично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обґрунтований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повно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продемонстровано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добрі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навички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аналізу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художнього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й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застосування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літературознавства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позиція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певної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глибини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чи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критичної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деталізації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Висновки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lastRenderedPageBreak/>
              <w:t>хоча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місцями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досить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аргументовані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Оформлення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мова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—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високому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рівні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з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поодинокими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неточностями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8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якісно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аналітичної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оригінальності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висвітлена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основних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аспектах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аргументи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повторюють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відомі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підходи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Методологія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визначена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однак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певні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логічні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недоліки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загальна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збережена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обмежене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коло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7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Спостерігається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теоретичних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засад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проте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поверховий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глибоких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інтерпретацій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всі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рекомендовані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Методологічна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база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вказана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застосована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практиці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фрагментарний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  <w:r w:rsidRPr="00E929FF">
              <w:rPr>
                <w:rFonts w:ascii="Times New Roman" w:hAnsi="Times New Roman" w:cs="Times New Roman"/>
                <w:bCs/>
              </w:rPr>
              <w:tab/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виконано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частина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дотримана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але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повністю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Бракує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аналітичного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мислення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узагальнень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Літературознавча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термінологія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використовується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непослідовно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порушення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структури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нечіткість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формулюваннях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недостатня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аргументація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5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  <w:r w:rsidRPr="00E929FF">
              <w:rPr>
                <w:rFonts w:ascii="Times New Roman" w:hAnsi="Times New Roman" w:cs="Times New Roman"/>
                <w:bCs/>
              </w:rPr>
              <w:tab/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частково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відчувається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поверхневе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знання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матеріалу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обмежується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переказом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змісту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цитуванням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власних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висновків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Методологічний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підхід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визначений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порівняння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аналітичні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узагальнення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зв’язок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теоретичними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засадами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4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  <w:r w:rsidRPr="00E929FF">
              <w:rPr>
                <w:rFonts w:ascii="Times New Roman" w:hAnsi="Times New Roman" w:cs="Times New Roman"/>
                <w:bCs/>
              </w:rPr>
              <w:tab/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компілятивний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характер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системність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логічна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обґрунтування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власна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думка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фрагментарно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Використано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неактуальні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неперевірені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джерела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Є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численні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стилістичні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граматичні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фактологічні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  <w:r w:rsidRPr="00E929FF">
              <w:rPr>
                <w:rFonts w:ascii="Times New Roman" w:hAnsi="Times New Roman" w:cs="Times New Roman"/>
                <w:bCs/>
              </w:rPr>
              <w:tab/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відповідає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більшості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вимог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розкрита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відсутній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тексту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фактичні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помилки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у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визначеннях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і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термінах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Структура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відсутня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хаотична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Робота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демонструє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розуміння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базових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категорій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1-2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  <w:r w:rsidRPr="00E929FF">
              <w:rPr>
                <w:rFonts w:ascii="Times New Roman" w:hAnsi="Times New Roman" w:cs="Times New Roman"/>
                <w:bCs/>
              </w:rPr>
              <w:tab/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Проєкт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формально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без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змістового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наповнення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містить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плагіат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безсистемне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запозичення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з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джерел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;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власні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судження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аналітика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логіка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29FF">
              <w:rPr>
                <w:rFonts w:ascii="Times New Roman" w:hAnsi="Times New Roman" w:cs="Times New Roman"/>
                <w:bCs/>
              </w:rPr>
              <w:t xml:space="preserve">0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балів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  <w:r w:rsidRPr="00E929FF">
              <w:rPr>
                <w:rFonts w:ascii="Times New Roman" w:hAnsi="Times New Roman" w:cs="Times New Roman"/>
                <w:bCs/>
              </w:rPr>
              <w:tab/>
            </w:r>
          </w:p>
          <w:p w:rsidR="0083118D" w:rsidRPr="00E929FF" w:rsidRDefault="0083118D" w:rsidP="00BD548D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Роботу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подано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або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вона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має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відношення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теми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курсу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Відсутні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ознаки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самостійного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виконання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порушено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норми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академічної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929FF">
              <w:rPr>
                <w:rFonts w:ascii="Times New Roman" w:hAnsi="Times New Roman" w:cs="Times New Roman"/>
                <w:bCs/>
              </w:rPr>
              <w:t>доброчесності</w:t>
            </w:r>
            <w:proofErr w:type="spellEnd"/>
            <w:r w:rsidRPr="00E929FF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83118D" w:rsidRPr="00A56684" w:rsidRDefault="0083118D" w:rsidP="0083118D">
      <w:pPr>
        <w:rPr>
          <w:rFonts w:ascii="Times New Roman" w:hAnsi="Times New Roman" w:cs="Times New Roman"/>
          <w:b/>
        </w:rPr>
      </w:pPr>
    </w:p>
    <w:p w:rsidR="0083118D" w:rsidRPr="00A56684" w:rsidRDefault="0083118D" w:rsidP="0083118D">
      <w:pPr>
        <w:jc w:val="center"/>
        <w:rPr>
          <w:rFonts w:ascii="Times New Roman" w:hAnsi="Times New Roman" w:cs="Times New Roman"/>
          <w:b/>
        </w:rPr>
      </w:pPr>
      <w:r w:rsidRPr="00A56684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83118D" w:rsidRPr="00A56684" w:rsidTr="00BD548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8D" w:rsidRPr="00A56684" w:rsidRDefault="0083118D" w:rsidP="00BD548D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56684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5668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83118D" w:rsidRPr="00A56684" w:rsidRDefault="0083118D" w:rsidP="00BD548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8D" w:rsidRPr="00A56684" w:rsidRDefault="0083118D" w:rsidP="00BD548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56684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8D" w:rsidRPr="00A56684" w:rsidRDefault="0083118D" w:rsidP="00BD548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83118D" w:rsidRPr="00A56684" w:rsidTr="00BD548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8D" w:rsidRPr="00A56684" w:rsidRDefault="0083118D" w:rsidP="00BD548D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8D" w:rsidRPr="00A56684" w:rsidRDefault="0083118D" w:rsidP="00BD548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8D" w:rsidRPr="00A56684" w:rsidRDefault="0083118D" w:rsidP="00BD548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18D" w:rsidRPr="00A56684" w:rsidRDefault="0083118D" w:rsidP="00BD548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6684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3118D" w:rsidRPr="00A56684" w:rsidTr="00BD54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56684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83118D" w:rsidRPr="00A56684" w:rsidTr="00BD54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3118D" w:rsidRPr="00A56684" w:rsidTr="00BD54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3118D" w:rsidRPr="00A56684" w:rsidTr="00BD54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3118D" w:rsidRPr="00A56684" w:rsidTr="00BD54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3118D" w:rsidRPr="00A56684" w:rsidTr="00BD54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83118D" w:rsidRPr="00A56684" w:rsidTr="00BD548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A56684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  <w:p w:rsidR="0083118D" w:rsidRPr="00A56684" w:rsidRDefault="0083118D" w:rsidP="00BD548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18D" w:rsidRPr="00A56684" w:rsidRDefault="0083118D" w:rsidP="00BD548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83118D" w:rsidRPr="00A56684" w:rsidRDefault="0083118D" w:rsidP="0083118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6266DD" w:rsidRDefault="006266DD"/>
    <w:sectPr w:rsidR="006266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roid Sans Fallback">
    <w:altName w:val="Yu Gothic"/>
    <w:charset w:val="80"/>
    <w:family w:val="swiss"/>
    <w:pitch w:val="default"/>
  </w:font>
  <w:font w:name="FreeSans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8D"/>
    <w:rsid w:val="006266DD"/>
    <w:rsid w:val="0083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99DA0-7911-4EA8-ABE8-1A678909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8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18D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18D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18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18D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18D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83118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3118D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3118D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3118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3118D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  <w:lang w:eastAsia="zh-CN" w:bidi="hi-IN"/>
    </w:rPr>
  </w:style>
  <w:style w:type="table" w:styleId="a3">
    <w:name w:val="Table Grid"/>
    <w:basedOn w:val="a1"/>
    <w:uiPriority w:val="39"/>
    <w:rsid w:val="008311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7191</Words>
  <Characters>4100</Characters>
  <Application>Microsoft Office Word</Application>
  <DocSecurity>0</DocSecurity>
  <Lines>34</Lines>
  <Paragraphs>22</Paragraphs>
  <ScaleCrop>false</ScaleCrop>
  <Company/>
  <LinksUpToDate>false</LinksUpToDate>
  <CharactersWithSpaces>11269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2025-11-12T03:22:00Z</dcterms:created>
  <dcterms:modified xsi:type="dcterms:W3CDTF">2025-11-12T03:23:00Z</dcterms:modified>
</cp:coreProperties>
</file>