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88" w:rsidRPr="000A728A" w:rsidRDefault="00F00F88" w:rsidP="00F00F88">
      <w:pPr>
        <w:tabs>
          <w:tab w:val="left" w:pos="426"/>
        </w:tabs>
        <w:spacing w:before="240" w:after="120"/>
        <w:ind w:firstLine="720"/>
        <w:jc w:val="center"/>
        <w:rPr>
          <w:b/>
          <w:i/>
          <w:lang w:val="uk-UA"/>
        </w:rPr>
      </w:pPr>
      <w:r w:rsidRPr="000A728A">
        <w:rPr>
          <w:b/>
          <w:i/>
          <w:lang w:val="uk-UA"/>
        </w:rPr>
        <w:t>ЗАДАЧА 2: . РОЗРАХУНОК ВАРТОСТІ ТУРИСТСЬКОГО ПРОДУКТУ</w:t>
      </w:r>
    </w:p>
    <w:p w:rsidR="00F00F88" w:rsidRPr="000A728A" w:rsidRDefault="00F00F88" w:rsidP="00F00F88">
      <w:pPr>
        <w:tabs>
          <w:tab w:val="left" w:pos="426"/>
        </w:tabs>
        <w:spacing w:before="240" w:after="120"/>
        <w:ind w:firstLine="720"/>
        <w:jc w:val="center"/>
        <w:rPr>
          <w:b/>
          <w:i/>
          <w:lang w:val="uk-UA"/>
        </w:rPr>
      </w:pPr>
      <w:r w:rsidRPr="000A728A">
        <w:rPr>
          <w:b/>
          <w:i/>
          <w:lang w:val="uk-UA"/>
        </w:rPr>
        <w:t>Приклад розрахунку вартості тура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 xml:space="preserve">Першим етапом формування ціни </w:t>
      </w:r>
      <w:proofErr w:type="spellStart"/>
      <w:r w:rsidRPr="000A728A">
        <w:rPr>
          <w:lang w:val="uk-UA"/>
        </w:rPr>
        <w:t>турпродукту</w:t>
      </w:r>
      <w:proofErr w:type="spellEnd"/>
      <w:r w:rsidRPr="000A728A">
        <w:rPr>
          <w:lang w:val="uk-UA"/>
        </w:rPr>
        <w:t xml:space="preserve"> є визначення вартості обслуговування туристів. На цьому етапі відбувається узгодження маршруту, пакета послуг. 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Наприклад, тур для іноз</w:t>
      </w:r>
      <w:bookmarkStart w:id="0" w:name="_GoBack"/>
      <w:bookmarkEnd w:id="0"/>
      <w:r w:rsidRPr="000A728A">
        <w:rPr>
          <w:lang w:val="uk-UA"/>
        </w:rPr>
        <w:t>емних громадян Київ-Львів (без перельоту)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Київ, 4 дні, 3 ночі.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Львів, 6 днів, 5 ночей.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 xml:space="preserve">Кількість туристів з перекладачем  - 18 </w:t>
      </w:r>
      <w:r>
        <w:rPr>
          <w:lang w:val="uk-UA"/>
        </w:rPr>
        <w:t>осіб</w:t>
      </w:r>
      <w:r w:rsidRPr="000A728A">
        <w:rPr>
          <w:lang w:val="uk-UA"/>
        </w:rPr>
        <w:t>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Харчування - повний пансіон (сніданок, обід, вечеря).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Проживання в двохмісних номерах «люкс» готелю ***.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Транспорт - комфортабельний автобус.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Вартість проживання в готелі Києва - 50 дол. за добу.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Вартість проживання в готелі  Львову -45 дол. за добу.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Вартість харчування у Києві - 65 дол. за добу.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Вартість харчування у Львові - 72 дол. за добу.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Транспорт - вартість оренди 1 година - 15 дол. (6 годин на день).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Вартість переїзду Київ - Львів  - 55 дол. за люд.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Екскурсійна програма у Києві - 45 дол.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Екскурсійна програма у Львові - 70 дол.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 xml:space="preserve">Послуги </w:t>
      </w:r>
      <w:proofErr w:type="spellStart"/>
      <w:r w:rsidRPr="000A728A">
        <w:rPr>
          <w:lang w:val="uk-UA"/>
        </w:rPr>
        <w:t>турфірми</w:t>
      </w:r>
      <w:proofErr w:type="spellEnd"/>
      <w:r w:rsidRPr="000A728A">
        <w:rPr>
          <w:lang w:val="uk-UA"/>
        </w:rPr>
        <w:t xml:space="preserve"> - 5 % від розміру всіх видатків.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 xml:space="preserve">Прибуток </w:t>
      </w:r>
      <w:proofErr w:type="spellStart"/>
      <w:r w:rsidRPr="000A728A">
        <w:rPr>
          <w:lang w:val="uk-UA"/>
        </w:rPr>
        <w:t>турфірми</w:t>
      </w:r>
      <w:proofErr w:type="spellEnd"/>
      <w:r w:rsidRPr="000A728A">
        <w:rPr>
          <w:lang w:val="uk-UA"/>
        </w:rPr>
        <w:t xml:space="preserve"> - 10 % від розміру всіх видатків.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u w:val="single"/>
          <w:lang w:val="uk-UA"/>
        </w:rPr>
      </w:pPr>
      <w:r w:rsidRPr="000A728A">
        <w:rPr>
          <w:u w:val="single"/>
          <w:lang w:val="uk-UA"/>
        </w:rPr>
        <w:t xml:space="preserve">Кошторис видатків </w:t>
      </w:r>
      <w:proofErr w:type="spellStart"/>
      <w:r w:rsidRPr="000A728A">
        <w:rPr>
          <w:u w:val="single"/>
          <w:lang w:val="uk-UA"/>
        </w:rPr>
        <w:t>турфірми</w:t>
      </w:r>
      <w:proofErr w:type="spellEnd"/>
      <w:r w:rsidRPr="000A728A">
        <w:rPr>
          <w:u w:val="single"/>
          <w:lang w:val="uk-UA"/>
        </w:rPr>
        <w:t>: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Київ: проживання в готелі 50 дол. *3 ночі*18 чол. = 2700 дол.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Харчування 65 дол. * 4 дні*18 чол. = 4680 дол.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Екскурсії 45 дол. * 18 чол. = 810 дол.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 xml:space="preserve">Львів: проживання в готелі 45 дол.*5 </w:t>
      </w:r>
      <w:proofErr w:type="spellStart"/>
      <w:r w:rsidRPr="000A728A">
        <w:rPr>
          <w:lang w:val="uk-UA"/>
        </w:rPr>
        <w:t>ноч</w:t>
      </w:r>
      <w:proofErr w:type="spellEnd"/>
      <w:r w:rsidRPr="000A728A">
        <w:rPr>
          <w:lang w:val="uk-UA"/>
        </w:rPr>
        <w:t>.*18 чол. = 4050 дол.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Харчування 72 дол. * 6 днів*18 чол. = 7776 дол.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Екскурсії 70 дол. * 18 чол. = 1260 дол.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Переїзд Київ - Львів 55 дол. *18 чол. =990 дол.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 xml:space="preserve">Оренда автобуса 10 днів - 2 дні екскурсії = 8 днів  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8 днів* 6 годин* 15 дол. = 720 дол.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b/>
          <w:i/>
          <w:lang w:val="uk-UA"/>
        </w:rPr>
        <w:t>Усього витрати:</w:t>
      </w:r>
      <w:r w:rsidRPr="000A728A">
        <w:rPr>
          <w:lang w:val="uk-UA"/>
        </w:rPr>
        <w:t xml:space="preserve">  2700+4680+810+4050+7776+1260+990+720=22986 дол.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 xml:space="preserve">Послуги </w:t>
      </w:r>
      <w:proofErr w:type="spellStart"/>
      <w:r w:rsidRPr="000A728A">
        <w:rPr>
          <w:lang w:val="uk-UA"/>
        </w:rPr>
        <w:t>турфірми</w:t>
      </w:r>
      <w:proofErr w:type="spellEnd"/>
      <w:r w:rsidRPr="000A728A">
        <w:rPr>
          <w:lang w:val="uk-UA"/>
        </w:rPr>
        <w:t xml:space="preserve">  22986*5 % = 1149,3 дол.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 xml:space="preserve">Прибуток </w:t>
      </w:r>
      <w:proofErr w:type="spellStart"/>
      <w:r w:rsidRPr="000A728A">
        <w:rPr>
          <w:lang w:val="uk-UA"/>
        </w:rPr>
        <w:t>турфірми</w:t>
      </w:r>
      <w:proofErr w:type="spellEnd"/>
      <w:r w:rsidRPr="000A728A">
        <w:rPr>
          <w:lang w:val="uk-UA"/>
        </w:rPr>
        <w:t xml:space="preserve">  22986 * 10 % = 2298,6 дол.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Загальна вартість тура  22986+1149,3+2298,6 = 26433,9 дол.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Загальна вартість із ПДВ  26433,9*1,2 = 31720,68 дол.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 xml:space="preserve">Вартість путівки на 1 людину  31720,68/18 = 1762,26 </w:t>
      </w:r>
      <w:proofErr w:type="spellStart"/>
      <w:r w:rsidRPr="000A728A">
        <w:rPr>
          <w:lang w:val="uk-UA"/>
        </w:rPr>
        <w:t>дол</w:t>
      </w:r>
      <w:proofErr w:type="spellEnd"/>
    </w:p>
    <w:p w:rsidR="00F00F88" w:rsidRPr="000A728A" w:rsidRDefault="00F00F88" w:rsidP="00F00F88">
      <w:pPr>
        <w:tabs>
          <w:tab w:val="left" w:pos="426"/>
          <w:tab w:val="left" w:pos="900"/>
        </w:tabs>
        <w:spacing w:before="240" w:after="120"/>
        <w:ind w:firstLine="720"/>
        <w:jc w:val="center"/>
        <w:rPr>
          <w:b/>
          <w:i/>
          <w:u w:val="single"/>
          <w:lang w:val="uk-UA"/>
        </w:rPr>
      </w:pPr>
      <w:r w:rsidRPr="000A728A">
        <w:rPr>
          <w:b/>
          <w:i/>
          <w:u w:val="single"/>
          <w:lang w:val="uk-UA"/>
        </w:rPr>
        <w:t>Особливості нарахування ПДВ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 xml:space="preserve">Наприклад, </w:t>
      </w:r>
      <w:proofErr w:type="spellStart"/>
      <w:r w:rsidRPr="000A728A">
        <w:rPr>
          <w:lang w:val="uk-UA"/>
        </w:rPr>
        <w:t>турфірма</w:t>
      </w:r>
      <w:proofErr w:type="spellEnd"/>
      <w:r w:rsidRPr="000A728A">
        <w:rPr>
          <w:lang w:val="uk-UA"/>
        </w:rPr>
        <w:t xml:space="preserve"> придбала путівки в дитячий оздоровчий табір за ціною без ПДВ. Вартість однієї путівки 300 грн. Путівки реалізовані на Україні за ціною 400 грн. ПДВ нараховується в такий спосіб:</w:t>
      </w:r>
    </w:p>
    <w:p w:rsidR="00F00F88" w:rsidRPr="000A728A" w:rsidRDefault="00F00F88" w:rsidP="00F00F88">
      <w:pPr>
        <w:numPr>
          <w:ilvl w:val="0"/>
          <w:numId w:val="4"/>
        </w:numPr>
        <w:tabs>
          <w:tab w:val="clear" w:pos="1740"/>
          <w:tab w:val="num" w:pos="0"/>
          <w:tab w:val="left" w:pos="426"/>
          <w:tab w:val="left" w:pos="900"/>
        </w:tabs>
        <w:ind w:left="0" w:firstLine="720"/>
        <w:jc w:val="both"/>
        <w:rPr>
          <w:lang w:val="uk-UA"/>
        </w:rPr>
      </w:pPr>
      <w:r w:rsidRPr="000A728A">
        <w:rPr>
          <w:lang w:val="uk-UA"/>
        </w:rPr>
        <w:t>Якщо підприємство формує власний туристський продукт і послуги дитячого оздоровчого табору є тільки його частиною, то до витрат відноситься вартість путівки разом з іншими витратами. У такому випадку ( п 4.1. Закону про ПДВ) базою оподатковування є вартість реалізації послуг туроператора, тобто 400 грн. обкладаються ПДВ.</w:t>
      </w:r>
    </w:p>
    <w:p w:rsidR="00F00F88" w:rsidRPr="000A728A" w:rsidRDefault="00F00F88" w:rsidP="00F00F88">
      <w:pPr>
        <w:numPr>
          <w:ilvl w:val="0"/>
          <w:numId w:val="4"/>
        </w:numPr>
        <w:tabs>
          <w:tab w:val="clear" w:pos="1740"/>
          <w:tab w:val="num" w:pos="0"/>
          <w:tab w:val="left" w:pos="426"/>
          <w:tab w:val="left" w:pos="900"/>
        </w:tabs>
        <w:ind w:left="0" w:firstLine="720"/>
        <w:jc w:val="both"/>
        <w:rPr>
          <w:lang w:val="uk-UA"/>
        </w:rPr>
      </w:pPr>
      <w:r w:rsidRPr="000A728A">
        <w:rPr>
          <w:lang w:val="uk-UA"/>
        </w:rPr>
        <w:t>Підприємство здійснює перепродаж путівок, придбаних у дитячого оздоровчого табору за договором купівлі-продажу (тобто, підприємству переходить право власності на путівки). Операція з перепродажу путівок звільняється від оподатковування ПДВ.</w:t>
      </w:r>
    </w:p>
    <w:p w:rsidR="00F00F88" w:rsidRPr="000A728A" w:rsidRDefault="00F00F88" w:rsidP="00F00F88">
      <w:pPr>
        <w:numPr>
          <w:ilvl w:val="0"/>
          <w:numId w:val="4"/>
        </w:numPr>
        <w:tabs>
          <w:tab w:val="clear" w:pos="1740"/>
          <w:tab w:val="num" w:pos="0"/>
          <w:tab w:val="left" w:pos="426"/>
          <w:tab w:val="left" w:pos="900"/>
        </w:tabs>
        <w:ind w:left="0" w:firstLine="720"/>
        <w:jc w:val="both"/>
        <w:rPr>
          <w:lang w:val="uk-UA"/>
        </w:rPr>
      </w:pPr>
      <w:r w:rsidRPr="000A728A">
        <w:rPr>
          <w:lang w:val="uk-UA"/>
        </w:rPr>
        <w:lastRenderedPageBreak/>
        <w:t>Підприємство реалізує путівки за договором, яким не передбачена передача права власності та базою оподатковування є комісійна, агентське винагорода, тобто 100 грн.</w:t>
      </w:r>
    </w:p>
    <w:p w:rsidR="00F00F88" w:rsidRPr="000A728A" w:rsidRDefault="00F00F88" w:rsidP="00F00F88">
      <w:pPr>
        <w:tabs>
          <w:tab w:val="left" w:pos="426"/>
          <w:tab w:val="left" w:pos="900"/>
        </w:tabs>
        <w:spacing w:before="240" w:after="120"/>
        <w:ind w:left="720"/>
        <w:jc w:val="center"/>
        <w:rPr>
          <w:b/>
          <w:i/>
          <w:lang w:val="uk-UA"/>
        </w:rPr>
      </w:pPr>
      <w:r w:rsidRPr="000A728A">
        <w:rPr>
          <w:b/>
          <w:i/>
          <w:lang w:val="uk-UA"/>
        </w:rPr>
        <w:t>Завдання для самостійного розв’язання: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 xml:space="preserve">Українська </w:t>
      </w:r>
      <w:proofErr w:type="spellStart"/>
      <w:r w:rsidRPr="000A728A">
        <w:rPr>
          <w:lang w:val="uk-UA"/>
        </w:rPr>
        <w:t>турфірма</w:t>
      </w:r>
      <w:proofErr w:type="spellEnd"/>
      <w:r w:rsidRPr="000A728A">
        <w:rPr>
          <w:lang w:val="uk-UA"/>
        </w:rPr>
        <w:t xml:space="preserve"> організує закордонні групові тури на 8 днів, 15 турів (у складі кожної групи 7 школярів).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u w:val="single"/>
          <w:lang w:val="uk-UA"/>
        </w:rPr>
      </w:pPr>
      <w:r w:rsidRPr="000A728A">
        <w:rPr>
          <w:u w:val="single"/>
          <w:lang w:val="uk-UA"/>
        </w:rPr>
        <w:t xml:space="preserve">Вартість послуг тура включає: 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 xml:space="preserve">- </w:t>
      </w:r>
      <w:proofErr w:type="spellStart"/>
      <w:r w:rsidRPr="000A728A">
        <w:rPr>
          <w:lang w:val="uk-UA"/>
        </w:rPr>
        <w:t>Авіапереліт</w:t>
      </w:r>
      <w:proofErr w:type="spellEnd"/>
      <w:r w:rsidRPr="000A728A">
        <w:rPr>
          <w:lang w:val="uk-UA"/>
        </w:rPr>
        <w:t xml:space="preserve"> в </w:t>
      </w:r>
      <w:proofErr w:type="spellStart"/>
      <w:r w:rsidRPr="000A728A">
        <w:rPr>
          <w:lang w:val="uk-UA"/>
        </w:rPr>
        <w:t>оба</w:t>
      </w:r>
      <w:proofErr w:type="spellEnd"/>
      <w:r w:rsidRPr="000A728A">
        <w:rPr>
          <w:lang w:val="uk-UA"/>
        </w:rPr>
        <w:t xml:space="preserve"> кінці.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- Проживання в готелі ****, у т.ч. сніданок.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- Страховий поліс.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- Віза.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- Харчування (обід, вечеря) не включається до проживання в готелі.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- Екскурсійне обслуговування.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- Комісійна винагорода контрагента.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- Передбачено знижку школярам за проживання в готелі - 50 %.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 xml:space="preserve">- Маржа української </w:t>
      </w:r>
      <w:proofErr w:type="spellStart"/>
      <w:r w:rsidRPr="000A728A">
        <w:rPr>
          <w:lang w:val="uk-UA"/>
        </w:rPr>
        <w:t>турфірми</w:t>
      </w:r>
      <w:proofErr w:type="spellEnd"/>
      <w:r w:rsidRPr="000A728A">
        <w:rPr>
          <w:lang w:val="uk-UA"/>
        </w:rPr>
        <w:t xml:space="preserve"> -  5%.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- Плановий прибуток - 10 % від ціни «нетто».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- Ставка ПДВ - 20 %.</w:t>
      </w: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both"/>
        <w:rPr>
          <w:lang w:val="uk-UA"/>
        </w:rPr>
      </w:pPr>
      <w:r w:rsidRPr="000A728A">
        <w:rPr>
          <w:lang w:val="uk-UA"/>
        </w:rPr>
        <w:t>Визначити відповідно даних свого варіанту</w:t>
      </w:r>
      <w:r>
        <w:rPr>
          <w:lang w:val="uk-UA"/>
        </w:rPr>
        <w:t xml:space="preserve"> (Таблиця 2.1)</w:t>
      </w:r>
      <w:r w:rsidRPr="000A728A">
        <w:rPr>
          <w:lang w:val="uk-UA"/>
        </w:rPr>
        <w:t>:</w:t>
      </w:r>
    </w:p>
    <w:p w:rsidR="00F00F88" w:rsidRPr="000A728A" w:rsidRDefault="00F00F88" w:rsidP="00F00F88">
      <w:pPr>
        <w:pStyle w:val="a"/>
        <w:numPr>
          <w:ilvl w:val="0"/>
          <w:numId w:val="6"/>
        </w:numPr>
        <w:tabs>
          <w:tab w:val="clear" w:pos="992"/>
          <w:tab w:val="left" w:pos="426"/>
          <w:tab w:val="left" w:pos="900"/>
        </w:tabs>
        <w:spacing w:line="240" w:lineRule="auto"/>
        <w:jc w:val="both"/>
        <w:rPr>
          <w:lang w:val="uk-UA"/>
        </w:rPr>
      </w:pPr>
      <w:r w:rsidRPr="000A728A">
        <w:rPr>
          <w:lang w:val="uk-UA"/>
        </w:rPr>
        <w:t xml:space="preserve">Вартість кожного тура, в т.ч. і на одного школяра; </w:t>
      </w:r>
    </w:p>
    <w:p w:rsidR="00F00F88" w:rsidRPr="000A728A" w:rsidRDefault="00F00F88" w:rsidP="00F00F88">
      <w:pPr>
        <w:pStyle w:val="a"/>
        <w:numPr>
          <w:ilvl w:val="0"/>
          <w:numId w:val="6"/>
        </w:numPr>
        <w:tabs>
          <w:tab w:val="clear" w:pos="992"/>
          <w:tab w:val="left" w:pos="426"/>
          <w:tab w:val="left" w:pos="900"/>
        </w:tabs>
        <w:spacing w:line="240" w:lineRule="auto"/>
        <w:jc w:val="both"/>
        <w:rPr>
          <w:lang w:val="uk-UA"/>
        </w:rPr>
      </w:pPr>
      <w:r w:rsidRPr="000A728A">
        <w:rPr>
          <w:lang w:val="uk-UA"/>
        </w:rPr>
        <w:t>Розмір виручки;</w:t>
      </w:r>
    </w:p>
    <w:p w:rsidR="00F00F88" w:rsidRPr="000A728A" w:rsidRDefault="00F00F88" w:rsidP="00F00F88">
      <w:pPr>
        <w:pStyle w:val="a"/>
        <w:numPr>
          <w:ilvl w:val="0"/>
          <w:numId w:val="6"/>
        </w:numPr>
        <w:tabs>
          <w:tab w:val="clear" w:pos="992"/>
          <w:tab w:val="left" w:pos="426"/>
          <w:tab w:val="left" w:pos="900"/>
        </w:tabs>
        <w:spacing w:line="240" w:lineRule="auto"/>
        <w:jc w:val="both"/>
        <w:rPr>
          <w:lang w:val="uk-UA"/>
        </w:rPr>
      </w:pPr>
      <w:proofErr w:type="spellStart"/>
      <w:r w:rsidRPr="000A728A">
        <w:rPr>
          <w:lang w:val="uk-UA"/>
        </w:rPr>
        <w:t>Маржинальний</w:t>
      </w:r>
      <w:proofErr w:type="spellEnd"/>
      <w:r w:rsidRPr="000A728A">
        <w:rPr>
          <w:lang w:val="uk-UA"/>
        </w:rPr>
        <w:t xml:space="preserve"> дохід;</w:t>
      </w:r>
    </w:p>
    <w:p w:rsidR="00F00F88" w:rsidRPr="000A728A" w:rsidRDefault="00F00F88" w:rsidP="00F00F88">
      <w:pPr>
        <w:pStyle w:val="a"/>
        <w:numPr>
          <w:ilvl w:val="0"/>
          <w:numId w:val="6"/>
        </w:numPr>
        <w:tabs>
          <w:tab w:val="clear" w:pos="992"/>
          <w:tab w:val="left" w:pos="426"/>
          <w:tab w:val="left" w:pos="900"/>
        </w:tabs>
        <w:spacing w:line="240" w:lineRule="auto"/>
        <w:jc w:val="both"/>
        <w:rPr>
          <w:lang w:val="uk-UA"/>
        </w:rPr>
      </w:pPr>
      <w:r w:rsidRPr="000A728A">
        <w:rPr>
          <w:lang w:val="uk-UA"/>
        </w:rPr>
        <w:t>Витрати загальні;</w:t>
      </w:r>
    </w:p>
    <w:p w:rsidR="00F00F88" w:rsidRPr="000A728A" w:rsidRDefault="00F00F88" w:rsidP="00F00F88">
      <w:pPr>
        <w:pStyle w:val="a"/>
        <w:numPr>
          <w:ilvl w:val="0"/>
          <w:numId w:val="6"/>
        </w:numPr>
        <w:tabs>
          <w:tab w:val="clear" w:pos="992"/>
          <w:tab w:val="left" w:pos="426"/>
          <w:tab w:val="left" w:pos="900"/>
        </w:tabs>
        <w:spacing w:line="240" w:lineRule="auto"/>
        <w:jc w:val="both"/>
        <w:rPr>
          <w:lang w:val="uk-UA"/>
        </w:rPr>
      </w:pPr>
      <w:r w:rsidRPr="000A728A">
        <w:rPr>
          <w:lang w:val="uk-UA"/>
        </w:rPr>
        <w:t xml:space="preserve">Прибуток </w:t>
      </w:r>
      <w:proofErr w:type="spellStart"/>
      <w:r w:rsidRPr="000A728A">
        <w:rPr>
          <w:lang w:val="uk-UA"/>
        </w:rPr>
        <w:t>турфірми</w:t>
      </w:r>
      <w:proofErr w:type="spellEnd"/>
      <w:r w:rsidRPr="000A728A">
        <w:rPr>
          <w:lang w:val="uk-UA"/>
        </w:rPr>
        <w:t>.</w:t>
      </w:r>
    </w:p>
    <w:p w:rsidR="00F00F88" w:rsidRPr="000A728A" w:rsidRDefault="00F00F88" w:rsidP="00F00F88">
      <w:pPr>
        <w:tabs>
          <w:tab w:val="left" w:pos="426"/>
        </w:tabs>
        <w:spacing w:after="200" w:line="276" w:lineRule="auto"/>
        <w:rPr>
          <w:lang w:val="uk-UA"/>
        </w:rPr>
      </w:pPr>
    </w:p>
    <w:p w:rsidR="00F00F88" w:rsidRPr="000A728A" w:rsidRDefault="00F00F88" w:rsidP="00F00F88">
      <w:pPr>
        <w:tabs>
          <w:tab w:val="left" w:pos="426"/>
        </w:tabs>
        <w:spacing w:after="200" w:line="276" w:lineRule="auto"/>
        <w:rPr>
          <w:lang w:val="uk-UA"/>
        </w:rPr>
        <w:sectPr w:rsidR="00F00F88" w:rsidRPr="000A728A" w:rsidSect="00D2053A">
          <w:headerReference w:type="default" r:id="rId6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00F88" w:rsidRPr="000A728A" w:rsidRDefault="00F00F88" w:rsidP="00F00F88">
      <w:pPr>
        <w:tabs>
          <w:tab w:val="left" w:pos="426"/>
          <w:tab w:val="left" w:pos="900"/>
        </w:tabs>
        <w:ind w:firstLine="720"/>
        <w:jc w:val="right"/>
        <w:rPr>
          <w:lang w:val="uk-UA"/>
        </w:rPr>
      </w:pPr>
      <w:r>
        <w:rPr>
          <w:lang w:val="uk-UA"/>
        </w:rPr>
        <w:lastRenderedPageBreak/>
        <w:t>Таблиця 2.1 – Варіанти до задачі 2</w:t>
      </w:r>
    </w:p>
    <w:tbl>
      <w:tblPr>
        <w:tblW w:w="151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F00F88" w:rsidRPr="000A728A" w:rsidTr="00D8751C">
        <w:tc>
          <w:tcPr>
            <w:tcW w:w="2438" w:type="dxa"/>
            <w:tcBorders>
              <w:tl2br w:val="single" w:sz="4" w:space="0" w:color="auto"/>
            </w:tcBorders>
          </w:tcPr>
          <w:p w:rsidR="00F00F88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</w:t>
            </w:r>
            <w:r w:rsidRPr="000A728A">
              <w:rPr>
                <w:lang w:val="uk-UA"/>
              </w:rPr>
              <w:t xml:space="preserve">            № </w:t>
            </w:r>
          </w:p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ind w:firstLine="60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0A728A">
              <w:rPr>
                <w:lang w:val="uk-UA"/>
              </w:rPr>
              <w:t>варіанту</w:t>
            </w:r>
          </w:p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>Вартість послуг, дол.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</w:tcPr>
          <w:p w:rsidR="00F00F88" w:rsidRPr="000A728A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</w:tr>
      <w:tr w:rsidR="00F00F88" w:rsidRPr="000A728A" w:rsidTr="00D8751C">
        <w:tc>
          <w:tcPr>
            <w:tcW w:w="2438" w:type="dxa"/>
          </w:tcPr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proofErr w:type="spellStart"/>
            <w:r w:rsidRPr="000A728A">
              <w:rPr>
                <w:lang w:val="uk-UA"/>
              </w:rPr>
              <w:t>Авіапереліт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200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150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125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130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175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180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140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110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120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160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170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190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225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210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115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165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215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145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155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195</w:t>
            </w:r>
          </w:p>
        </w:tc>
        <w:tc>
          <w:tcPr>
            <w:tcW w:w="576" w:type="dxa"/>
          </w:tcPr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>105</w:t>
            </w:r>
          </w:p>
        </w:tc>
      </w:tr>
      <w:tr w:rsidR="00F00F88" w:rsidRPr="000A728A" w:rsidTr="00D8751C">
        <w:tc>
          <w:tcPr>
            <w:tcW w:w="2438" w:type="dxa"/>
          </w:tcPr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>Проживання в готелі, 1 день,</w:t>
            </w:r>
          </w:p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 xml:space="preserve">   в т.ч. сніданок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400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40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300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25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250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20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275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25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310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325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350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375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375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40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340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330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380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40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390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40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370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40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325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350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375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375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40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340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330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400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45</w:t>
            </w:r>
          </w:p>
        </w:tc>
        <w:tc>
          <w:tcPr>
            <w:tcW w:w="576" w:type="dxa"/>
          </w:tcPr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>390</w:t>
            </w:r>
          </w:p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>40</w:t>
            </w:r>
          </w:p>
        </w:tc>
      </w:tr>
      <w:tr w:rsidR="00F00F88" w:rsidRPr="000A728A" w:rsidTr="00D8751C">
        <w:tc>
          <w:tcPr>
            <w:tcW w:w="2438" w:type="dxa"/>
          </w:tcPr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>Страховий поліс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13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16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16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13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18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16</w:t>
            </w:r>
          </w:p>
        </w:tc>
        <w:tc>
          <w:tcPr>
            <w:tcW w:w="576" w:type="dxa"/>
          </w:tcPr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>17</w:t>
            </w:r>
          </w:p>
        </w:tc>
      </w:tr>
      <w:tr w:rsidR="00F00F88" w:rsidRPr="000A728A" w:rsidTr="00D8751C">
        <w:tc>
          <w:tcPr>
            <w:tcW w:w="2438" w:type="dxa"/>
          </w:tcPr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>Віза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45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40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25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45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50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40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25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25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40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45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40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25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50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45</w:t>
            </w:r>
          </w:p>
        </w:tc>
        <w:tc>
          <w:tcPr>
            <w:tcW w:w="576" w:type="dxa"/>
          </w:tcPr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>30</w:t>
            </w:r>
          </w:p>
        </w:tc>
      </w:tr>
      <w:tr w:rsidR="00F00F88" w:rsidRPr="000A728A" w:rsidTr="00D8751C">
        <w:tc>
          <w:tcPr>
            <w:tcW w:w="2438" w:type="dxa"/>
          </w:tcPr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>Харчування, 1 день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140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150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130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120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135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155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140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120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115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130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140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150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145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130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125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140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135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130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150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140</w:t>
            </w:r>
          </w:p>
        </w:tc>
        <w:tc>
          <w:tcPr>
            <w:tcW w:w="576" w:type="dxa"/>
          </w:tcPr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>130</w:t>
            </w:r>
          </w:p>
        </w:tc>
      </w:tr>
      <w:tr w:rsidR="00F00F88" w:rsidRPr="000A728A" w:rsidTr="00D8751C">
        <w:tc>
          <w:tcPr>
            <w:tcW w:w="2438" w:type="dxa"/>
          </w:tcPr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>Екскурсійне обслуговування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50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60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90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75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80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60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70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85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75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65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55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45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95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85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75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55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65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60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70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80</w:t>
            </w:r>
          </w:p>
        </w:tc>
        <w:tc>
          <w:tcPr>
            <w:tcW w:w="576" w:type="dxa"/>
          </w:tcPr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>50</w:t>
            </w:r>
          </w:p>
        </w:tc>
      </w:tr>
      <w:tr w:rsidR="00F00F88" w:rsidRPr="000A728A" w:rsidTr="00D8751C">
        <w:tc>
          <w:tcPr>
            <w:tcW w:w="2438" w:type="dxa"/>
          </w:tcPr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>Комісія контрагентів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50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80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60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70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50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50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70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80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90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85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75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90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80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60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75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85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65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55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65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75</w:t>
            </w:r>
          </w:p>
        </w:tc>
        <w:tc>
          <w:tcPr>
            <w:tcW w:w="576" w:type="dxa"/>
          </w:tcPr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>85</w:t>
            </w:r>
          </w:p>
        </w:tc>
      </w:tr>
    </w:tbl>
    <w:p w:rsidR="00F00F88" w:rsidRDefault="00F00F88" w:rsidP="00F00F88">
      <w:pPr>
        <w:tabs>
          <w:tab w:val="left" w:pos="426"/>
        </w:tabs>
        <w:spacing w:line="276" w:lineRule="auto"/>
        <w:rPr>
          <w:lang w:val="uk-UA"/>
        </w:rPr>
      </w:pPr>
    </w:p>
    <w:tbl>
      <w:tblPr>
        <w:tblW w:w="81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0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F00F88" w:rsidRPr="000A728A" w:rsidTr="00D8751C">
        <w:tc>
          <w:tcPr>
            <w:tcW w:w="3590" w:type="dxa"/>
            <w:tcBorders>
              <w:tl2br w:val="single" w:sz="4" w:space="0" w:color="auto"/>
            </w:tcBorders>
          </w:tcPr>
          <w:p w:rsidR="00F00F88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</w:t>
            </w:r>
            <w:r w:rsidRPr="000A728A">
              <w:rPr>
                <w:lang w:val="uk-UA"/>
              </w:rPr>
              <w:t xml:space="preserve">            № </w:t>
            </w:r>
          </w:p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ind w:firstLine="60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0A728A">
              <w:rPr>
                <w:lang w:val="uk-UA"/>
              </w:rPr>
              <w:t>варіанту</w:t>
            </w:r>
          </w:p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>Вартість послуг, дол.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F00F88">
            <w:pPr>
              <w:pStyle w:val="a"/>
              <w:numPr>
                <w:ilvl w:val="0"/>
                <w:numId w:val="5"/>
              </w:numPr>
              <w:tabs>
                <w:tab w:val="clear" w:pos="992"/>
                <w:tab w:val="left" w:pos="426"/>
                <w:tab w:val="left" w:pos="900"/>
              </w:tabs>
              <w:spacing w:line="240" w:lineRule="auto"/>
              <w:ind w:left="0" w:firstLine="0"/>
              <w:jc w:val="both"/>
              <w:rPr>
                <w:lang w:val="uk-UA"/>
              </w:rPr>
            </w:pPr>
          </w:p>
        </w:tc>
      </w:tr>
      <w:tr w:rsidR="00F00F88" w:rsidRPr="000A728A" w:rsidTr="00D8751C">
        <w:tc>
          <w:tcPr>
            <w:tcW w:w="3590" w:type="dxa"/>
          </w:tcPr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proofErr w:type="spellStart"/>
            <w:r w:rsidRPr="000A728A">
              <w:rPr>
                <w:lang w:val="uk-UA"/>
              </w:rPr>
              <w:t>Авіапереліт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200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150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125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130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175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180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140</w:t>
            </w:r>
          </w:p>
        </w:tc>
      </w:tr>
      <w:tr w:rsidR="00F00F88" w:rsidRPr="000A728A" w:rsidTr="00D8751C">
        <w:tc>
          <w:tcPr>
            <w:tcW w:w="3590" w:type="dxa"/>
          </w:tcPr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>Проживання в готелі, 1 день,</w:t>
            </w:r>
          </w:p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 xml:space="preserve">   в т.ч. сніданок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400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40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300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25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250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20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275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25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310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325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350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375</w:t>
            </w:r>
          </w:p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35</w:t>
            </w:r>
          </w:p>
        </w:tc>
      </w:tr>
      <w:tr w:rsidR="00F00F88" w:rsidRPr="000A728A" w:rsidTr="00D8751C">
        <w:tc>
          <w:tcPr>
            <w:tcW w:w="3590" w:type="dxa"/>
          </w:tcPr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>Страховий поліс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13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16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11</w:t>
            </w:r>
          </w:p>
        </w:tc>
      </w:tr>
      <w:tr w:rsidR="00F00F88" w:rsidRPr="000A728A" w:rsidTr="00D8751C">
        <w:tc>
          <w:tcPr>
            <w:tcW w:w="3590" w:type="dxa"/>
          </w:tcPr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>Віза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45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40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25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45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50</w:t>
            </w:r>
          </w:p>
        </w:tc>
      </w:tr>
      <w:tr w:rsidR="00F00F88" w:rsidRPr="000A728A" w:rsidTr="00D8751C">
        <w:tc>
          <w:tcPr>
            <w:tcW w:w="3590" w:type="dxa"/>
          </w:tcPr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>Харчування, 1 день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140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150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130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120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135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155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140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120</w:t>
            </w:r>
          </w:p>
        </w:tc>
      </w:tr>
      <w:tr w:rsidR="00F00F88" w:rsidRPr="000A728A" w:rsidTr="00D8751C">
        <w:tc>
          <w:tcPr>
            <w:tcW w:w="3590" w:type="dxa"/>
          </w:tcPr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>Екскурсійне обслуговування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60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90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75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80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60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70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85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75</w:t>
            </w:r>
          </w:p>
        </w:tc>
      </w:tr>
      <w:tr w:rsidR="00F00F88" w:rsidRPr="000A728A" w:rsidTr="00D8751C">
        <w:tc>
          <w:tcPr>
            <w:tcW w:w="3590" w:type="dxa"/>
          </w:tcPr>
          <w:p w:rsidR="00F00F88" w:rsidRPr="000A728A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0A728A">
              <w:rPr>
                <w:lang w:val="uk-UA"/>
              </w:rPr>
              <w:t>Комісія контрагентів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80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60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70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50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50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70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80</w:t>
            </w:r>
          </w:p>
        </w:tc>
        <w:tc>
          <w:tcPr>
            <w:tcW w:w="576" w:type="dxa"/>
            <w:shd w:val="clear" w:color="auto" w:fill="auto"/>
          </w:tcPr>
          <w:p w:rsidR="00F00F88" w:rsidRPr="002106F2" w:rsidRDefault="00F00F88" w:rsidP="00D8751C">
            <w:pPr>
              <w:tabs>
                <w:tab w:val="left" w:pos="426"/>
                <w:tab w:val="left" w:pos="900"/>
              </w:tabs>
              <w:jc w:val="both"/>
              <w:rPr>
                <w:lang w:val="uk-UA"/>
              </w:rPr>
            </w:pPr>
            <w:r w:rsidRPr="002106F2">
              <w:rPr>
                <w:lang w:val="uk-UA"/>
              </w:rPr>
              <w:t>90</w:t>
            </w:r>
          </w:p>
        </w:tc>
      </w:tr>
    </w:tbl>
    <w:p w:rsidR="00F00F88" w:rsidRDefault="00F00F88" w:rsidP="00F00F88">
      <w:pPr>
        <w:rPr>
          <w:lang w:val="uk-UA"/>
        </w:rPr>
        <w:sectPr w:rsidR="00F00F88" w:rsidSect="00901009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56241C" w:rsidRDefault="0056241C"/>
    <w:sectPr w:rsidR="0056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3A" w:rsidRDefault="00F00F88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5DA"/>
    <w:multiLevelType w:val="hybridMultilevel"/>
    <w:tmpl w:val="A46075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3523"/>
    <w:multiLevelType w:val="hybridMultilevel"/>
    <w:tmpl w:val="C9267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A1DF9"/>
    <w:multiLevelType w:val="hybridMultilevel"/>
    <w:tmpl w:val="1BB43F4A"/>
    <w:lvl w:ilvl="0" w:tplc="81809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6A0727"/>
    <w:multiLevelType w:val="hybridMultilevel"/>
    <w:tmpl w:val="26AE6F4E"/>
    <w:lvl w:ilvl="0" w:tplc="FE76B95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06672A"/>
    <w:multiLevelType w:val="hybridMultilevel"/>
    <w:tmpl w:val="11F43CF4"/>
    <w:lvl w:ilvl="0" w:tplc="18247D6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2141AB"/>
    <w:multiLevelType w:val="hybridMultilevel"/>
    <w:tmpl w:val="89E237DE"/>
    <w:lvl w:ilvl="0" w:tplc="9F9C9610">
      <w:start w:val="1"/>
      <w:numFmt w:val="decimal"/>
      <w:pStyle w:val="a0"/>
      <w:lvlText w:val="%1."/>
      <w:lvlJc w:val="left"/>
      <w:pPr>
        <w:ind w:left="1021" w:hanging="360"/>
      </w:pPr>
    </w:lvl>
    <w:lvl w:ilvl="1" w:tplc="04220019" w:tentative="1">
      <w:start w:val="1"/>
      <w:numFmt w:val="lowerLetter"/>
      <w:lvlText w:val="%2."/>
      <w:lvlJc w:val="left"/>
      <w:pPr>
        <w:ind w:left="1741" w:hanging="360"/>
      </w:pPr>
    </w:lvl>
    <w:lvl w:ilvl="2" w:tplc="0422001B" w:tentative="1">
      <w:start w:val="1"/>
      <w:numFmt w:val="lowerRoman"/>
      <w:lvlText w:val="%3."/>
      <w:lvlJc w:val="right"/>
      <w:pPr>
        <w:ind w:left="2461" w:hanging="180"/>
      </w:pPr>
    </w:lvl>
    <w:lvl w:ilvl="3" w:tplc="0422000F" w:tentative="1">
      <w:start w:val="1"/>
      <w:numFmt w:val="decimal"/>
      <w:lvlText w:val="%4."/>
      <w:lvlJc w:val="left"/>
      <w:pPr>
        <w:ind w:left="3181" w:hanging="360"/>
      </w:pPr>
    </w:lvl>
    <w:lvl w:ilvl="4" w:tplc="04220019" w:tentative="1">
      <w:start w:val="1"/>
      <w:numFmt w:val="lowerLetter"/>
      <w:lvlText w:val="%5."/>
      <w:lvlJc w:val="left"/>
      <w:pPr>
        <w:ind w:left="3901" w:hanging="360"/>
      </w:pPr>
    </w:lvl>
    <w:lvl w:ilvl="5" w:tplc="0422001B" w:tentative="1">
      <w:start w:val="1"/>
      <w:numFmt w:val="lowerRoman"/>
      <w:lvlText w:val="%6."/>
      <w:lvlJc w:val="right"/>
      <w:pPr>
        <w:ind w:left="4621" w:hanging="180"/>
      </w:pPr>
    </w:lvl>
    <w:lvl w:ilvl="6" w:tplc="0422000F" w:tentative="1">
      <w:start w:val="1"/>
      <w:numFmt w:val="decimal"/>
      <w:lvlText w:val="%7."/>
      <w:lvlJc w:val="left"/>
      <w:pPr>
        <w:ind w:left="5341" w:hanging="360"/>
      </w:pPr>
    </w:lvl>
    <w:lvl w:ilvl="7" w:tplc="04220019" w:tentative="1">
      <w:start w:val="1"/>
      <w:numFmt w:val="lowerLetter"/>
      <w:lvlText w:val="%8."/>
      <w:lvlJc w:val="left"/>
      <w:pPr>
        <w:ind w:left="6061" w:hanging="360"/>
      </w:pPr>
    </w:lvl>
    <w:lvl w:ilvl="8" w:tplc="0422001B" w:tentative="1">
      <w:start w:val="1"/>
      <w:numFmt w:val="lowerRoman"/>
      <w:lvlText w:val="%9."/>
      <w:lvlJc w:val="right"/>
      <w:pPr>
        <w:ind w:left="678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88"/>
    <w:rsid w:val="00295A61"/>
    <w:rsid w:val="004729D3"/>
    <w:rsid w:val="0056241C"/>
    <w:rsid w:val="007B6249"/>
    <w:rsid w:val="008D3983"/>
    <w:rsid w:val="009845D2"/>
    <w:rsid w:val="00B741D3"/>
    <w:rsid w:val="00E67BB1"/>
    <w:rsid w:val="00F00F88"/>
    <w:rsid w:val="00F9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F94F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F94F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94F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94F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94F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94F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94F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94F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94F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94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F94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F94F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F94F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94F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94F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94F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94F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94F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F94F0F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F94F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94F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94F0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F94F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uiPriority w:val="22"/>
    <w:qFormat/>
    <w:rsid w:val="00F94F0F"/>
    <w:rPr>
      <w:b/>
      <w:bCs/>
    </w:rPr>
  </w:style>
  <w:style w:type="character" w:styleId="ab">
    <w:name w:val="Emphasis"/>
    <w:basedOn w:val="a2"/>
    <w:uiPriority w:val="20"/>
    <w:qFormat/>
    <w:rsid w:val="00F94F0F"/>
    <w:rPr>
      <w:i/>
      <w:iCs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paragraph" w:styleId="a">
    <w:name w:val="List Paragraph"/>
    <w:basedOn w:val="a1"/>
    <w:uiPriority w:val="34"/>
    <w:qFormat/>
    <w:rsid w:val="00E67BB1"/>
    <w:pPr>
      <w:numPr>
        <w:numId w:val="3"/>
      </w:numPr>
      <w:tabs>
        <w:tab w:val="left" w:pos="992"/>
      </w:tabs>
      <w:spacing w:line="276" w:lineRule="auto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F94F0F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F94F0F"/>
    <w:rPr>
      <w:i/>
      <w:iCs/>
      <w:color w:val="000000" w:themeColor="text1"/>
    </w:rPr>
  </w:style>
  <w:style w:type="paragraph" w:styleId="ad">
    <w:name w:val="Intense Quote"/>
    <w:basedOn w:val="a1"/>
    <w:next w:val="a1"/>
    <w:link w:val="ae"/>
    <w:uiPriority w:val="30"/>
    <w:qFormat/>
    <w:rsid w:val="00F94F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F94F0F"/>
    <w:rPr>
      <w:b/>
      <w:bCs/>
      <w:i/>
      <w:iCs/>
      <w:color w:val="4F81BD" w:themeColor="accent1"/>
    </w:rPr>
  </w:style>
  <w:style w:type="character" w:styleId="af">
    <w:name w:val="Subtle Emphasis"/>
    <w:basedOn w:val="a2"/>
    <w:uiPriority w:val="19"/>
    <w:qFormat/>
    <w:rsid w:val="00F94F0F"/>
    <w:rPr>
      <w:i/>
      <w:iCs/>
      <w:color w:val="808080" w:themeColor="text1" w:themeTint="7F"/>
    </w:rPr>
  </w:style>
  <w:style w:type="character" w:styleId="af0">
    <w:name w:val="Intense Emphasis"/>
    <w:basedOn w:val="a2"/>
    <w:uiPriority w:val="21"/>
    <w:qFormat/>
    <w:rsid w:val="00F94F0F"/>
    <w:rPr>
      <w:b/>
      <w:bCs/>
      <w:i/>
      <w:iCs/>
      <w:color w:val="4F81BD" w:themeColor="accent1"/>
    </w:rPr>
  </w:style>
  <w:style w:type="character" w:styleId="af1">
    <w:name w:val="Subtle Reference"/>
    <w:basedOn w:val="a2"/>
    <w:uiPriority w:val="31"/>
    <w:qFormat/>
    <w:rsid w:val="00F94F0F"/>
    <w:rPr>
      <w:smallCaps/>
      <w:color w:val="C0504D" w:themeColor="accent2"/>
      <w:u w:val="single"/>
    </w:rPr>
  </w:style>
  <w:style w:type="character" w:styleId="af2">
    <w:name w:val="Intense Reference"/>
    <w:basedOn w:val="a2"/>
    <w:uiPriority w:val="32"/>
    <w:qFormat/>
    <w:rsid w:val="00F94F0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2"/>
    <w:uiPriority w:val="33"/>
    <w:qFormat/>
    <w:rsid w:val="00F94F0F"/>
    <w:rPr>
      <w:b/>
      <w:bCs/>
      <w:smallCaps/>
      <w:spacing w:val="5"/>
    </w:rPr>
  </w:style>
  <w:style w:type="paragraph" w:styleId="af4">
    <w:name w:val="TOC Heading"/>
    <w:basedOn w:val="1"/>
    <w:next w:val="a1"/>
    <w:uiPriority w:val="39"/>
    <w:semiHidden/>
    <w:unhideWhenUsed/>
    <w:qFormat/>
    <w:rsid w:val="00F94F0F"/>
    <w:pPr>
      <w:outlineLvl w:val="9"/>
    </w:pPr>
  </w:style>
  <w:style w:type="paragraph" w:customStyle="1" w:styleId="af5">
    <w:name w:val="Стандартный"/>
    <w:basedOn w:val="a1"/>
    <w:qFormat/>
    <w:rsid w:val="00F94F0F"/>
    <w:rPr>
      <w:lang w:val="uk-UA"/>
    </w:rPr>
  </w:style>
  <w:style w:type="paragraph" w:customStyle="1" w:styleId="a0">
    <w:name w:val="Стиль плана семинара"/>
    <w:basedOn w:val="a"/>
    <w:qFormat/>
    <w:rsid w:val="004729D3"/>
    <w:pPr>
      <w:numPr>
        <w:numId w:val="1"/>
      </w:numPr>
      <w:tabs>
        <w:tab w:val="left" w:pos="1134"/>
      </w:tabs>
      <w:spacing w:line="240" w:lineRule="auto"/>
      <w:contextualSpacing w:val="0"/>
    </w:pPr>
    <w:rPr>
      <w:szCs w:val="28"/>
      <w:lang w:val="uk-UA"/>
    </w:rPr>
  </w:style>
  <w:style w:type="paragraph" w:styleId="af6">
    <w:name w:val="header"/>
    <w:basedOn w:val="a1"/>
    <w:link w:val="af7"/>
    <w:uiPriority w:val="99"/>
    <w:unhideWhenUsed/>
    <w:rsid w:val="00F00F8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uiPriority w:val="99"/>
    <w:rsid w:val="00F00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F94F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F94F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94F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94F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94F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94F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94F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94F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94F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94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F94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F94F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F94F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94F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94F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94F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94F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94F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F94F0F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F94F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94F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94F0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F94F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uiPriority w:val="22"/>
    <w:qFormat/>
    <w:rsid w:val="00F94F0F"/>
    <w:rPr>
      <w:b/>
      <w:bCs/>
    </w:rPr>
  </w:style>
  <w:style w:type="character" w:styleId="ab">
    <w:name w:val="Emphasis"/>
    <w:basedOn w:val="a2"/>
    <w:uiPriority w:val="20"/>
    <w:qFormat/>
    <w:rsid w:val="00F94F0F"/>
    <w:rPr>
      <w:i/>
      <w:iCs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paragraph" w:styleId="a">
    <w:name w:val="List Paragraph"/>
    <w:basedOn w:val="a1"/>
    <w:uiPriority w:val="34"/>
    <w:qFormat/>
    <w:rsid w:val="00E67BB1"/>
    <w:pPr>
      <w:numPr>
        <w:numId w:val="3"/>
      </w:numPr>
      <w:tabs>
        <w:tab w:val="left" w:pos="992"/>
      </w:tabs>
      <w:spacing w:line="276" w:lineRule="auto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F94F0F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F94F0F"/>
    <w:rPr>
      <w:i/>
      <w:iCs/>
      <w:color w:val="000000" w:themeColor="text1"/>
    </w:rPr>
  </w:style>
  <w:style w:type="paragraph" w:styleId="ad">
    <w:name w:val="Intense Quote"/>
    <w:basedOn w:val="a1"/>
    <w:next w:val="a1"/>
    <w:link w:val="ae"/>
    <w:uiPriority w:val="30"/>
    <w:qFormat/>
    <w:rsid w:val="00F94F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F94F0F"/>
    <w:rPr>
      <w:b/>
      <w:bCs/>
      <w:i/>
      <w:iCs/>
      <w:color w:val="4F81BD" w:themeColor="accent1"/>
    </w:rPr>
  </w:style>
  <w:style w:type="character" w:styleId="af">
    <w:name w:val="Subtle Emphasis"/>
    <w:basedOn w:val="a2"/>
    <w:uiPriority w:val="19"/>
    <w:qFormat/>
    <w:rsid w:val="00F94F0F"/>
    <w:rPr>
      <w:i/>
      <w:iCs/>
      <w:color w:val="808080" w:themeColor="text1" w:themeTint="7F"/>
    </w:rPr>
  </w:style>
  <w:style w:type="character" w:styleId="af0">
    <w:name w:val="Intense Emphasis"/>
    <w:basedOn w:val="a2"/>
    <w:uiPriority w:val="21"/>
    <w:qFormat/>
    <w:rsid w:val="00F94F0F"/>
    <w:rPr>
      <w:b/>
      <w:bCs/>
      <w:i/>
      <w:iCs/>
      <w:color w:val="4F81BD" w:themeColor="accent1"/>
    </w:rPr>
  </w:style>
  <w:style w:type="character" w:styleId="af1">
    <w:name w:val="Subtle Reference"/>
    <w:basedOn w:val="a2"/>
    <w:uiPriority w:val="31"/>
    <w:qFormat/>
    <w:rsid w:val="00F94F0F"/>
    <w:rPr>
      <w:smallCaps/>
      <w:color w:val="C0504D" w:themeColor="accent2"/>
      <w:u w:val="single"/>
    </w:rPr>
  </w:style>
  <w:style w:type="character" w:styleId="af2">
    <w:name w:val="Intense Reference"/>
    <w:basedOn w:val="a2"/>
    <w:uiPriority w:val="32"/>
    <w:qFormat/>
    <w:rsid w:val="00F94F0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2"/>
    <w:uiPriority w:val="33"/>
    <w:qFormat/>
    <w:rsid w:val="00F94F0F"/>
    <w:rPr>
      <w:b/>
      <w:bCs/>
      <w:smallCaps/>
      <w:spacing w:val="5"/>
    </w:rPr>
  </w:style>
  <w:style w:type="paragraph" w:styleId="af4">
    <w:name w:val="TOC Heading"/>
    <w:basedOn w:val="1"/>
    <w:next w:val="a1"/>
    <w:uiPriority w:val="39"/>
    <w:semiHidden/>
    <w:unhideWhenUsed/>
    <w:qFormat/>
    <w:rsid w:val="00F94F0F"/>
    <w:pPr>
      <w:outlineLvl w:val="9"/>
    </w:pPr>
  </w:style>
  <w:style w:type="paragraph" w:customStyle="1" w:styleId="af5">
    <w:name w:val="Стандартный"/>
    <w:basedOn w:val="a1"/>
    <w:qFormat/>
    <w:rsid w:val="00F94F0F"/>
    <w:rPr>
      <w:lang w:val="uk-UA"/>
    </w:rPr>
  </w:style>
  <w:style w:type="paragraph" w:customStyle="1" w:styleId="a0">
    <w:name w:val="Стиль плана семинара"/>
    <w:basedOn w:val="a"/>
    <w:qFormat/>
    <w:rsid w:val="004729D3"/>
    <w:pPr>
      <w:numPr>
        <w:numId w:val="1"/>
      </w:numPr>
      <w:tabs>
        <w:tab w:val="left" w:pos="1134"/>
      </w:tabs>
      <w:spacing w:line="240" w:lineRule="auto"/>
      <w:contextualSpacing w:val="0"/>
    </w:pPr>
    <w:rPr>
      <w:szCs w:val="28"/>
      <w:lang w:val="uk-UA"/>
    </w:rPr>
  </w:style>
  <w:style w:type="paragraph" w:styleId="af6">
    <w:name w:val="header"/>
    <w:basedOn w:val="a1"/>
    <w:link w:val="af7"/>
    <w:uiPriority w:val="99"/>
    <w:unhideWhenUsed/>
    <w:rsid w:val="00F00F8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uiPriority w:val="99"/>
    <w:rsid w:val="00F00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3077</Words>
  <Characters>1754</Characters>
  <Application>Microsoft Office Word</Application>
  <DocSecurity>0</DocSecurity>
  <Lines>14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2015-04-29T08:33:00Z</dcterms:created>
  <dcterms:modified xsi:type="dcterms:W3CDTF">2015-04-29T08:33:00Z</dcterms:modified>
</cp:coreProperties>
</file>