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70" w:rsidRPr="00D70BFA" w:rsidRDefault="00D97F70" w:rsidP="00D97F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70BFA">
        <w:rPr>
          <w:rFonts w:ascii="Times New Roman" w:hAnsi="Times New Roman" w:cs="Times New Roman"/>
          <w:b/>
          <w:sz w:val="28"/>
          <w:szCs w:val="28"/>
          <w:lang w:val="ru-RU"/>
        </w:rPr>
        <w:t>5 ВИЗНАЧЕННЯ СХОЖОСТІ ТА ЕНЕРГІЇ ПРОРОСТАННЯ НАСІННЯ ДЕРЕВ І ЧАГАРНИКІВ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Мета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ознайомлення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методикою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карточки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>Обладнання</w:t>
      </w:r>
      <w:proofErr w:type="spellEnd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>матеріали</w:t>
      </w:r>
      <w:proofErr w:type="spellEnd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чашки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Петрі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фільтрувальний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зразок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сосни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породи,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пінцети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відра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скальпелі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лупи,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ДСТУ 5036: 2008, ГОСТ 13056.6 –75 «Семена деревьев и кустарников. Метод определения всхожести».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>Ключові</w:t>
      </w:r>
      <w:proofErr w:type="spellEnd"/>
      <w:r w:rsidRPr="00D97F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слова: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господарська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картонка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стандарт. </w:t>
      </w:r>
    </w:p>
    <w:p w:rsidR="00D97F70" w:rsidRP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відомості</w:t>
      </w:r>
      <w:proofErr w:type="spellEnd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Основним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лабораторним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методом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є метод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якісний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проростків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 чашках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Петрі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поміщених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термостат,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дерев’яних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ящиках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металевих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оцинкованих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посудинах.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умовно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поділяється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три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набубнявіння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активізація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ферментативних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ріст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зародка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спішного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ретельно</w:t>
      </w:r>
      <w:proofErr w:type="spellEnd"/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підготувати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обладнання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належний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режим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ГОСТ 13056.6 – 68).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нормальні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проростки при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певних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породи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(для сосни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15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дуба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модрини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туї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західної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20,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ялини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–15,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гледичії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10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т.д.).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технічна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господарська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), абсолютна,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ґрунтова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спостережень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виконуються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формулами.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Технічна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господарська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виражена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взяте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Т. С. = </w:t>
      </w:r>
      <w:r w:rsidR="00D70BFA" w:rsidRPr="00D97F70">
        <w:rPr>
          <w:rFonts w:ascii="Times New Roman" w:hAnsi="Times New Roman" w:cs="Times New Roman"/>
          <w:sz w:val="28"/>
          <w:szCs w:val="28"/>
        </w:rPr>
        <w:t>n</w:t>
      </w:r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D70BFA" w:rsidRPr="00D97F70">
        <w:rPr>
          <w:rFonts w:ascii="Times New Roman" w:hAnsi="Times New Roman" w:cs="Times New Roman"/>
          <w:sz w:val="28"/>
          <w:szCs w:val="28"/>
        </w:rPr>
        <w:t>N</w:t>
      </w:r>
      <w:r w:rsidR="00D70BFA" w:rsidRPr="00D97F70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r w:rsidRPr="00D97F70">
        <w:rPr>
          <w:rFonts w:ascii="Cambria Math" w:hAnsi="Cambria Math" w:cs="Cambria Math"/>
          <w:sz w:val="28"/>
          <w:szCs w:val="28"/>
          <w:lang w:val="ru-RU"/>
        </w:rPr>
        <w:t>∗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100, (5.1)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r w:rsidRPr="00D97F70">
        <w:rPr>
          <w:rFonts w:ascii="Times New Roman" w:hAnsi="Times New Roman" w:cs="Times New Roman"/>
          <w:sz w:val="28"/>
          <w:szCs w:val="28"/>
        </w:rPr>
        <w:t>n</w:t>
      </w:r>
      <w:r w:rsidR="00D70BF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D97F70">
        <w:rPr>
          <w:rFonts w:ascii="Times New Roman" w:hAnsi="Times New Roman" w:cs="Times New Roman"/>
          <w:sz w:val="28"/>
          <w:szCs w:val="28"/>
        </w:rPr>
        <w:t>N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закладеного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Абсолютна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виражена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взяте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винятком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порожнього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А. С.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r w:rsidRPr="00D97F70">
        <w:rPr>
          <w:rFonts w:ascii="Times New Roman" w:hAnsi="Times New Roman" w:cs="Times New Roman"/>
          <w:sz w:val="28"/>
          <w:szCs w:val="28"/>
        </w:rPr>
        <w:t>௡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Nirmala UI" w:hAnsi="Nirmala UI" w:cs="Nirmala UI"/>
          <w:sz w:val="28"/>
          <w:szCs w:val="28"/>
        </w:rPr>
        <w:t>ே</w:t>
      </w:r>
      <w:proofErr w:type="gramEnd"/>
      <w:r w:rsidRPr="00D97F70">
        <w:rPr>
          <w:rFonts w:ascii="Nirmala UI" w:hAnsi="Nirmala UI" w:cs="Nirmala UI"/>
          <w:sz w:val="28"/>
          <w:szCs w:val="28"/>
        </w:rPr>
        <w:t>ି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D97F70">
        <w:rPr>
          <w:rFonts w:ascii="Cambria Math" w:hAnsi="Cambria Math" w:cs="Cambria Math"/>
          <w:sz w:val="28"/>
          <w:szCs w:val="28"/>
          <w:lang w:val="ru-RU"/>
        </w:rPr>
        <w:t>∗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100, (5.2)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а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порожнє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абсолютної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Ґрунтова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дали сходи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висівання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ґрунт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виражена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висіяного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Ґрунтова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нижча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абсолютної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відкритому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висіяне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нормальні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проростки.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нормальні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проростки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дружність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1/2 – 1/3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стандартом: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Т. С. = </w:t>
      </w:r>
      <w:r w:rsidR="00D70BFA" w:rsidRPr="00D97F70">
        <w:rPr>
          <w:rFonts w:ascii="Times New Roman" w:hAnsi="Times New Roman" w:cs="Times New Roman"/>
          <w:sz w:val="28"/>
          <w:szCs w:val="28"/>
        </w:rPr>
        <w:t>n</w:t>
      </w:r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` 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="00D70BFA" w:rsidRPr="00D97F70">
        <w:rPr>
          <w:rFonts w:ascii="Times New Roman" w:hAnsi="Times New Roman" w:cs="Times New Roman"/>
          <w:sz w:val="28"/>
          <w:szCs w:val="28"/>
        </w:rPr>
        <w:t>N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F70">
        <w:rPr>
          <w:rFonts w:ascii="Cambria Math" w:hAnsi="Cambria Math" w:cs="Cambria Math"/>
          <w:sz w:val="28"/>
          <w:szCs w:val="28"/>
          <w:lang w:val="ru-RU"/>
        </w:rPr>
        <w:t>∗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100, (5.3)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r w:rsidRPr="00D97F70">
        <w:rPr>
          <w:rFonts w:ascii="Times New Roman" w:hAnsi="Times New Roman" w:cs="Times New Roman"/>
          <w:sz w:val="28"/>
          <w:szCs w:val="28"/>
        </w:rPr>
        <w:t>n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`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державним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стандартом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коротшим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порівнянні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Свіже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моменту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закладання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появи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сходів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підсумовуванням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добутків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відповідний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діленням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Свіже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мінімальний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>С.Н. С. = а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 +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70BFA">
        <w:rPr>
          <w:rFonts w:ascii="Times New Roman" w:hAnsi="Times New Roman" w:cs="Times New Roman"/>
          <w:sz w:val="28"/>
          <w:szCs w:val="28"/>
          <w:lang w:val="ru-RU"/>
        </w:rPr>
        <w:t>+….</w:t>
      </w:r>
      <w:proofErr w:type="gramEnd"/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./    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а’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 +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в’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 +</w:t>
      </w:r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 w:rsidRPr="00D97F70">
        <w:rPr>
          <w:rFonts w:ascii="Times New Roman" w:hAnsi="Times New Roman" w:cs="Times New Roman"/>
          <w:sz w:val="28"/>
          <w:szCs w:val="28"/>
          <w:lang w:val="ru-RU"/>
        </w:rPr>
        <w:t>с’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 xml:space="preserve">+…   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, (5.4) </w:t>
      </w:r>
    </w:p>
    <w:p w:rsidR="00D70BFA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а, в, с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а’, в’, с’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господарська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вміст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чистого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однорідній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виражений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П. П.Н. = %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="00D70BFA" w:rsidRPr="00D70B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%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чистоти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BFA">
        <w:rPr>
          <w:rFonts w:cs="Nirmala UI"/>
          <w:sz w:val="28"/>
          <w:szCs w:val="28"/>
          <w:lang w:val="ru-RU"/>
        </w:rPr>
        <w:t>/100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(5.4)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кондиційного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уточнення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висіву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100 %–ї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встановлену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висіву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вносять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поправку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посівну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придатність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Pr="00D97F70" w:rsidRDefault="00D97F70" w:rsidP="00D97F70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Хід</w:t>
      </w:r>
      <w:proofErr w:type="spellEnd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світлі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 чашках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Петрі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темряві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дерев’яних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ящиків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металевого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оцинкованого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посуду,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підтримуючи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указані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ГОСТ 13056.6–68 температуру 20–30 °С,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зволоженість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ложа,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промиваючи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появі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плісняви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допускаючи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приміщенні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нижче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+15 °С.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стерильності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предметний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стіл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пінцети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металева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основа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розміщенням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нитяних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прокладок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протирається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спиртом.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Паперову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прокладку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опускають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секунд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кип’яток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дно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стінки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ванни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промивають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водою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ошпарюють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кип’ятком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промивають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проточній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металевій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сітці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Чисте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ретельно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перемішується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відбирається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білий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фільтрувальний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промитий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прожарений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кварцовий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пісок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тирсу,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подрібнений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торф,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ошпарений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окропом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зволожений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 60 %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вологоємкості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Перед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сосни,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ялини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модрини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шовковиці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намочується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воді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температурою 18–20 °С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впродовж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18–24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намочування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промивається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рази водою.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берези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верби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тополі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., яке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перед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намочують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але водою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промивають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Підготовлене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чисте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береться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чистим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пінцетом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білий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фільтрувальний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папір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по 25, 50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100 шт.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одне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ложе.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аморфи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гледичії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маслинки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дуба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гіркокашкана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горіха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грецького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–– 20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 100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олівцем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скляному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ковпачку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чашці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Петрі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проставляють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номер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дату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паперових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прокладках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проставляють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номер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порядковий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номер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Розкладені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торкатися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одна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одної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Перед початком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заповнюються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стовпчики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рядки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Д),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ложе не повинно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пересихати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перезволожуватися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при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появі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плісняви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заміняти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промивати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вода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перестане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каламутніти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Початком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наступний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дня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розкладання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закінченням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ГОСТом.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апаратах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термостатах проводиться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указані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породи.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для сосни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ялини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вільхи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чорної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на 3–й, 5–й, 7–й, 10–й, 15–й і 20–й день, для дуба, каштана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кінського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модрини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на 5–й, 7–й, 10–й, 15–й, 20–й день.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явно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загнилі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видаляються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ложе,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фіксується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карточці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До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довжина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корінців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менша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довжини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дуба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звичайного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гіркокашкана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горіха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грецького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 ящиках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посудинах)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наклюнулося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кожну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розрізають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уздовж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зародка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здорових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ненормально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твердих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запарених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загнилих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без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зародкових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порожніх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заражених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ентомошкідниками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заносять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 карточку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залишилось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30 %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непророщених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повнозернистих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насінин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зародки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проби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забарвлюють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індигокарміном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ГОСТ 13056.7–68.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певних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термін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продовженим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5–10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заносяться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 карточку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виконуються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карточка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заповнюється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розраховують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чотирьох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виражають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цілих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відсотках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бути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більшими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наведених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табл. 5.1.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допустимих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точністю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цілого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числа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арифметичний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числа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взятих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знаходять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досліджених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максимальне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крайніх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величиною проб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порівнюють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допустимим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Приклад 1</w:t>
      </w: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виявилася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76; 80; 81; 87 %,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81 %.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81 % максимально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15 % (табл. 2),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максимальне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11 % (87 – 76).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и с н о в о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 :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повторенню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97F70" w:rsidRP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Приклад 2</w:t>
      </w:r>
    </w:p>
    <w:p w:rsidR="00EE4053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проб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виявилася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88; 70; 80; 74 %,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78 %.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78 % максимально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становить 16 % (табл. 2),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максимальне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18 % (88 – 70).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В и с н о в о </w:t>
      </w:r>
      <w:proofErr w:type="gram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 :</w:t>
      </w:r>
      <w:proofErr w:type="gram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повторенню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E4053" w:rsidRDefault="00EE4053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0BFA" w:rsidRDefault="0042512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1 –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середнього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арифметичного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допустиме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="00D97F70"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70BFA" w:rsidRDefault="00D70BFA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9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1317"/>
        <w:gridCol w:w="1304"/>
        <w:gridCol w:w="2406"/>
        <w:gridCol w:w="1365"/>
        <w:gridCol w:w="1503"/>
      </w:tblGrid>
      <w:tr w:rsidR="00D70BFA" w:rsidTr="00EE4053">
        <w:trPr>
          <w:trHeight w:val="168"/>
        </w:trPr>
        <w:tc>
          <w:tcPr>
            <w:tcW w:w="1801" w:type="dxa"/>
            <w:vMerge w:val="restart"/>
          </w:tcPr>
          <w:p w:rsidR="00D70BFA" w:rsidRDefault="00D70BFA" w:rsidP="00D70B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Середнє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арифметичне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схожості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%</w:t>
            </w:r>
          </w:p>
        </w:tc>
        <w:tc>
          <w:tcPr>
            <w:tcW w:w="2328" w:type="dxa"/>
            <w:gridSpan w:val="2"/>
          </w:tcPr>
          <w:p w:rsidR="00D70BFA" w:rsidRDefault="00D70BFA" w:rsidP="00D70BF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Допустиме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відхилення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% при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пророщуванні</w:t>
            </w:r>
            <w:proofErr w:type="spellEnd"/>
          </w:p>
        </w:tc>
        <w:tc>
          <w:tcPr>
            <w:tcW w:w="2595" w:type="dxa"/>
            <w:vMerge w:val="restart"/>
          </w:tcPr>
          <w:p w:rsidR="00D70BFA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Середнє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арифметичне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схожості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%</w:t>
            </w:r>
          </w:p>
        </w:tc>
        <w:tc>
          <w:tcPr>
            <w:tcW w:w="2972" w:type="dxa"/>
            <w:gridSpan w:val="2"/>
          </w:tcPr>
          <w:p w:rsidR="00D70BFA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Допустиме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відхилення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% при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пророщуванні</w:t>
            </w:r>
            <w:proofErr w:type="spellEnd"/>
          </w:p>
        </w:tc>
      </w:tr>
      <w:tr w:rsidR="00EE4053" w:rsidTr="00EE4053">
        <w:trPr>
          <w:trHeight w:val="168"/>
        </w:trPr>
        <w:tc>
          <w:tcPr>
            <w:tcW w:w="1801" w:type="dxa"/>
            <w:vMerge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6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чотирьох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 по 100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насінин</w:t>
            </w:r>
            <w:proofErr w:type="spellEnd"/>
          </w:p>
        </w:tc>
        <w:tc>
          <w:tcPr>
            <w:tcW w:w="1332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трьох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 по 100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насінин</w:t>
            </w:r>
            <w:proofErr w:type="spellEnd"/>
          </w:p>
        </w:tc>
        <w:tc>
          <w:tcPr>
            <w:tcW w:w="2595" w:type="dxa"/>
            <w:vMerge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чотирьох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 по 100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насінин</w:t>
            </w:r>
            <w:proofErr w:type="spellEnd"/>
          </w:p>
        </w:tc>
        <w:tc>
          <w:tcPr>
            <w:tcW w:w="1592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трьох</w:t>
            </w:r>
            <w:proofErr w:type="spellEnd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 по 100 </w:t>
            </w:r>
            <w:proofErr w:type="spellStart"/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насінин</w:t>
            </w:r>
            <w:proofErr w:type="spellEnd"/>
          </w:p>
        </w:tc>
      </w:tr>
      <w:tr w:rsidR="00EE4053" w:rsidTr="00EE4053">
        <w:trPr>
          <w:trHeight w:val="167"/>
        </w:trPr>
        <w:tc>
          <w:tcPr>
            <w:tcW w:w="1801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99; 2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81–83; 18–20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EE4053" w:rsidTr="00EE4053">
        <w:trPr>
          <w:trHeight w:val="168"/>
        </w:trPr>
        <w:tc>
          <w:tcPr>
            <w:tcW w:w="1801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98; 3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78–80; 21–23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EE4053" w:rsidTr="00EE4053">
        <w:trPr>
          <w:trHeight w:val="180"/>
        </w:trPr>
        <w:tc>
          <w:tcPr>
            <w:tcW w:w="1801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97; 4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95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77; 24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EE4053" w:rsidTr="00EE4053">
        <w:trPr>
          <w:trHeight w:val="144"/>
        </w:trPr>
        <w:tc>
          <w:tcPr>
            <w:tcW w:w="1801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96; 5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73–76; 25–28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EE4053" w:rsidTr="00EE4053">
        <w:trPr>
          <w:trHeight w:val="144"/>
        </w:trPr>
        <w:tc>
          <w:tcPr>
            <w:tcW w:w="1801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95; 6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71–72; 29–30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EE4053" w:rsidTr="00EE4053">
        <w:trPr>
          <w:trHeight w:val="155"/>
        </w:trPr>
        <w:tc>
          <w:tcPr>
            <w:tcW w:w="1801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93–94; 7–8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67–70; 31–34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E4053" w:rsidTr="00EE4053">
        <w:trPr>
          <w:trHeight w:val="156"/>
        </w:trPr>
        <w:tc>
          <w:tcPr>
            <w:tcW w:w="1801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91–92; 9–10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64–66; 35–37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EE4053" w:rsidTr="00EE4053">
        <w:trPr>
          <w:trHeight w:val="180"/>
        </w:trPr>
        <w:tc>
          <w:tcPr>
            <w:tcW w:w="1801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89–90; 11–12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56–63; 38–45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EE4053" w:rsidTr="00EE4053">
        <w:trPr>
          <w:trHeight w:val="132"/>
        </w:trPr>
        <w:tc>
          <w:tcPr>
            <w:tcW w:w="1801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87–88; 13–14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595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51–55; 46–50</w:t>
            </w: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EE4053" w:rsidTr="00EE4053">
        <w:trPr>
          <w:trHeight w:val="204"/>
        </w:trPr>
        <w:tc>
          <w:tcPr>
            <w:tcW w:w="1801" w:type="dxa"/>
          </w:tcPr>
          <w:p w:rsidR="00EE4053" w:rsidRDefault="00EE4053" w:rsidP="00EE405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84–86; 15–17</w:t>
            </w:r>
          </w:p>
        </w:tc>
        <w:tc>
          <w:tcPr>
            <w:tcW w:w="996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33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97F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595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80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2" w:type="dxa"/>
          </w:tcPr>
          <w:p w:rsidR="00EE4053" w:rsidRDefault="00EE4053" w:rsidP="00D70BFA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97F70" w:rsidRDefault="00D97F70" w:rsidP="00EE405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повторного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меншим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допустимого, то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обчислюється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повторного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за результатами повторного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фактичне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відхилення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більшим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допустимого, то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енергії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відсоток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непророслого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обчислюються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аналізів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даними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восьми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шести проб. </w:t>
      </w:r>
    </w:p>
    <w:p w:rsidR="00D97F70" w:rsidRPr="00D97F70" w:rsidRDefault="00D97F70" w:rsidP="00D97F70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proofErr w:type="spellStart"/>
      <w:r w:rsidRPr="00D97F70">
        <w:rPr>
          <w:rFonts w:ascii="Times New Roman" w:hAnsi="Times New Roman" w:cs="Times New Roman"/>
          <w:b/>
          <w:sz w:val="28"/>
          <w:szCs w:val="28"/>
          <w:lang w:val="ru-RU"/>
        </w:rPr>
        <w:t>Звітність</w:t>
      </w:r>
      <w:proofErr w:type="spellEnd"/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Кожний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здає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призначений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час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захищає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викладачем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роботу,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виконана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власноруч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разом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заповненою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карткою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пояснювальним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текстом. </w:t>
      </w:r>
    </w:p>
    <w:p w:rsidR="00D97F70" w:rsidRPr="00EE4053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4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E4053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EE4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EE4053">
        <w:rPr>
          <w:rFonts w:ascii="Times New Roman" w:hAnsi="Times New Roman" w:cs="Times New Roman"/>
          <w:b/>
          <w:sz w:val="28"/>
          <w:szCs w:val="28"/>
          <w:lang w:val="ru-RU"/>
        </w:rPr>
        <w:t>для самоконтролю</w:t>
      </w:r>
      <w:proofErr w:type="gramEnd"/>
      <w:r w:rsidRPr="00EE40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1. Дайте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енергія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</w:t>
      </w:r>
      <w:r>
        <w:rPr>
          <w:rFonts w:ascii="Times New Roman" w:hAnsi="Times New Roman" w:cs="Times New Roman"/>
          <w:sz w:val="28"/>
          <w:szCs w:val="28"/>
          <w:lang w:val="ru-RU"/>
        </w:rPr>
        <w:t>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3. Як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спокій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характеризує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успішного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5.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6. Як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готується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7. Як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8. Яке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нормально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пророслим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систематичні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проростання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10.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вважається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днем початку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завершальним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днем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пророщування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11. За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09727B" w:rsidRPr="00D97F70" w:rsidRDefault="00D97F70" w:rsidP="00D97F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12. У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схожість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насіння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F70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D97F70">
        <w:rPr>
          <w:rFonts w:ascii="Times New Roman" w:hAnsi="Times New Roman" w:cs="Times New Roman"/>
          <w:sz w:val="28"/>
          <w:szCs w:val="28"/>
          <w:lang w:val="ru-RU"/>
        </w:rPr>
        <w:t xml:space="preserve"> повторно?</w:t>
      </w:r>
    </w:p>
    <w:sectPr w:rsidR="0009727B" w:rsidRPr="00D97F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91"/>
    <w:rsid w:val="0009727B"/>
    <w:rsid w:val="00425120"/>
    <w:rsid w:val="00D70BFA"/>
    <w:rsid w:val="00D97F70"/>
    <w:rsid w:val="00DC1791"/>
    <w:rsid w:val="00EE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2F6B"/>
  <w15:chartTrackingRefBased/>
  <w15:docId w15:val="{AD9EC8CF-AC4A-4892-837D-25A10D48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2021-10-28T16:29:00Z</dcterms:created>
  <dcterms:modified xsi:type="dcterms:W3CDTF">2021-11-01T04:54:00Z</dcterms:modified>
</cp:coreProperties>
</file>