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0C" w:rsidRPr="005E2919" w:rsidRDefault="005E2919" w:rsidP="00BE3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 </w:t>
      </w:r>
      <w:r w:rsidR="00BE300C" w:rsidRPr="005E2919">
        <w:rPr>
          <w:rFonts w:ascii="Times New Roman" w:hAnsi="Times New Roman" w:cs="Times New Roman"/>
          <w:b/>
          <w:sz w:val="28"/>
          <w:szCs w:val="28"/>
          <w:lang w:val="ru-RU"/>
        </w:rPr>
        <w:t>ВИЗНАЧЕННЯ ЖИТТЄЗДАТНОСТІ НАСІННЯ ДЕРЕВ І ЧАГАРНИКІВ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Мета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методами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лісоутворюючих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лісоутворюючих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i/>
          <w:sz w:val="28"/>
          <w:szCs w:val="28"/>
          <w:lang w:val="ru-RU"/>
        </w:rPr>
        <w:t>Обладнання</w:t>
      </w:r>
      <w:proofErr w:type="spellEnd"/>
      <w:r w:rsidRPr="00BE300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BE300C">
        <w:rPr>
          <w:rFonts w:ascii="Times New Roman" w:hAnsi="Times New Roman" w:cs="Times New Roman"/>
          <w:i/>
          <w:sz w:val="28"/>
          <w:szCs w:val="28"/>
          <w:lang w:val="ru-RU"/>
        </w:rPr>
        <w:t>матеріали</w:t>
      </w:r>
      <w:proofErr w:type="spellEnd"/>
      <w:r w:rsidRPr="00BE300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намочене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породи, чашки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Петрі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голки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скальпелі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лупи,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фарфорові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чашки,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індигокарміну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тетразолу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йодистого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калію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скляні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стаканчики (50 мл), карточка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», ГОСТ 13056.7–68 «Семена деревьев и кустарников. Методы определения жизнеспособности». </w:t>
      </w:r>
    </w:p>
    <w:p w:rsidR="00BE300C" w:rsidRDefault="00BE300C" w:rsidP="002D07C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7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2D07C9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2D07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D07C9">
        <w:rPr>
          <w:rFonts w:ascii="Times New Roman" w:hAnsi="Times New Roman" w:cs="Times New Roman"/>
          <w:b/>
          <w:sz w:val="28"/>
          <w:szCs w:val="28"/>
          <w:lang w:val="ru-RU"/>
        </w:rPr>
        <w:t>відомості</w:t>
      </w:r>
      <w:proofErr w:type="spellEnd"/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потенційна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проростати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живих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виражена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взятої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дерев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чагарників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глибоким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спокоєм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оптимальних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проростає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 40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термінового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висіву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для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вимушеним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спокоєм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(сосни,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ялини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ялиці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модрини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). Для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розчином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одного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барвників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індигокарміном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забарвлює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мертві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тканини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тетразолом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забарвлює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живі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тканини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йодистим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калієм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забарвлює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крохмаль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). У ГОСТ 13056.7–68 наведено 157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дерев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чагарників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для кожного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указані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барвник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строк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знаходження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барвнику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00C" w:rsidRPr="00BE300C" w:rsidRDefault="00BE300C" w:rsidP="002D07C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Кожною бригадою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відбирається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намочене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набубнявіння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чисте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сосни –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студента.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відібраного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обережно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виймаються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 стаканчик</w:t>
      </w:r>
      <w:proofErr w:type="gram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водою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підраховуються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вийманні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замінюються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пробі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підраховуються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беззародкові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порожні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загниваючі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Перед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фарбуванням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вода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стаканчиків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виливається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заливаються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розчином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барвника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указаний у ГОСТ 13056.7–68 (для сосни 0,05 %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розчином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індигокарміну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2 год,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зливання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барвника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промиваються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водою,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розкладаються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 пробах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білий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підраховується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нежиттєздатних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Насінина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забарвлені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забарвлені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1/3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кінчика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корінця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указані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с. 87 ГОСТ 13056.7– 68.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lastRenderedPageBreak/>
        <w:t>Отримані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нежиттєздатного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заносяться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 карточку</w:t>
      </w:r>
      <w:proofErr w:type="gram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вираховується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фарбування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пробах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допустимі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арифметичного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більшими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указаних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6.1. </w:t>
      </w:r>
    </w:p>
    <w:p w:rsidR="00BE300C" w:rsidRDefault="002D07C9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1 –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середньоарифметичного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300C" w:rsidRPr="00BE300C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1615"/>
        <w:gridCol w:w="3111"/>
        <w:gridCol w:w="1616"/>
      </w:tblGrid>
      <w:tr w:rsidR="005E2919" w:rsidTr="005E2919">
        <w:trPr>
          <w:trHeight w:val="180"/>
        </w:trPr>
        <w:tc>
          <w:tcPr>
            <w:tcW w:w="240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Середньоарифметичний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відсоток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життєздатності</w:t>
            </w:r>
            <w:proofErr w:type="spellEnd"/>
          </w:p>
        </w:tc>
        <w:tc>
          <w:tcPr>
            <w:tcW w:w="2364" w:type="dxa"/>
          </w:tcPr>
          <w:p w:rsidR="005E2919" w:rsidRDefault="005E2919" w:rsidP="005E29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Допустимі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відхилення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04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Середньоарифметичний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відсоток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життєздатності</w:t>
            </w:r>
            <w:proofErr w:type="spellEnd"/>
          </w:p>
        </w:tc>
        <w:tc>
          <w:tcPr>
            <w:tcW w:w="2388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Допустимі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відхилення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%</w:t>
            </w:r>
          </w:p>
        </w:tc>
      </w:tr>
      <w:tr w:rsidR="005E2919" w:rsidTr="005E2919">
        <w:trPr>
          <w:trHeight w:val="156"/>
        </w:trPr>
        <w:tc>
          <w:tcPr>
            <w:tcW w:w="240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100,0 до 99,0</w:t>
            </w:r>
          </w:p>
        </w:tc>
        <w:tc>
          <w:tcPr>
            <w:tcW w:w="2364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204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84,9 до 80,0</w:t>
            </w:r>
          </w:p>
        </w:tc>
        <w:tc>
          <w:tcPr>
            <w:tcW w:w="2388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5,5</w:t>
            </w:r>
          </w:p>
        </w:tc>
      </w:tr>
      <w:tr w:rsidR="005E2919" w:rsidTr="005E2919">
        <w:trPr>
          <w:trHeight w:val="192"/>
        </w:trPr>
        <w:tc>
          <w:tcPr>
            <w:tcW w:w="240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98,9 » 95,0</w:t>
            </w:r>
          </w:p>
        </w:tc>
        <w:tc>
          <w:tcPr>
            <w:tcW w:w="2364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204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79,9 » 70,0</w:t>
            </w:r>
          </w:p>
        </w:tc>
        <w:tc>
          <w:tcPr>
            <w:tcW w:w="2388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6,0</w:t>
            </w:r>
          </w:p>
        </w:tc>
      </w:tr>
      <w:tr w:rsidR="005E2919" w:rsidTr="005E2919">
        <w:trPr>
          <w:trHeight w:val="155"/>
        </w:trPr>
        <w:tc>
          <w:tcPr>
            <w:tcW w:w="240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94,5 » 90,0</w:t>
            </w:r>
          </w:p>
        </w:tc>
        <w:tc>
          <w:tcPr>
            <w:tcW w:w="2364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4,0</w:t>
            </w:r>
          </w:p>
        </w:tc>
        <w:tc>
          <w:tcPr>
            <w:tcW w:w="204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69,9 » 60,0</w:t>
            </w:r>
          </w:p>
        </w:tc>
        <w:tc>
          <w:tcPr>
            <w:tcW w:w="2388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</w:tr>
      <w:tr w:rsidR="005E2919" w:rsidTr="005E2919">
        <w:trPr>
          <w:trHeight w:val="180"/>
        </w:trPr>
        <w:tc>
          <w:tcPr>
            <w:tcW w:w="240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89,9 » 85,0</w:t>
            </w:r>
          </w:p>
        </w:tc>
        <w:tc>
          <w:tcPr>
            <w:tcW w:w="2364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2040" w:type="dxa"/>
          </w:tcPr>
          <w:p w:rsidR="005E2919" w:rsidRDefault="005E2919" w:rsidP="00BE30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59,9 » 50,0</w:t>
            </w:r>
          </w:p>
        </w:tc>
        <w:tc>
          <w:tcPr>
            <w:tcW w:w="2388" w:type="dxa"/>
          </w:tcPr>
          <w:p w:rsidR="005E2919" w:rsidRDefault="005E2919" w:rsidP="005E2919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7,0 </w:t>
            </w:r>
          </w:p>
        </w:tc>
      </w:tr>
    </w:tbl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допустиму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величину, то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підраховується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залишилися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повторюється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а)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фарбування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відхиляються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середньоарифметичного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величину,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більшу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допустимої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5 %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для 3–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допустимих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некондиційною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вираховують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по восьми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шести пробах.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кондиційним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вираховують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Остаточний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фарбування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виражають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цілих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0,5 %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відкидають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0,5 %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приймають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 1 %.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заносять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стовпчики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та рядки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прикладаються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пояснювальної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записки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E300C" w:rsidRPr="00BE300C" w:rsidRDefault="00BE300C" w:rsidP="00BE300C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6.3 </w:t>
      </w:r>
      <w:proofErr w:type="spellStart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>Звітність</w:t>
      </w:r>
      <w:proofErr w:type="spellEnd"/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здає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призначений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час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захищає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викладачем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виконана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власноруч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заповненою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карткою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пояснювальним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текстом. </w:t>
      </w:r>
    </w:p>
    <w:p w:rsidR="00BE300C" w:rsidRP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6.4 </w:t>
      </w:r>
      <w:proofErr w:type="spellStart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>для самоконтролю</w:t>
      </w:r>
      <w:proofErr w:type="gramEnd"/>
      <w:r w:rsidRPr="00BE30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терміном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»?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2. За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і як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3. Як і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індигокармін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тетразол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йодистого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калію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відбирають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5. Як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готується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дерев і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чагарникі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6. Коли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ru-RU"/>
        </w:rPr>
        <w:t>авершений?</w:t>
      </w:r>
    </w:p>
    <w:p w:rsidR="00153FF8" w:rsidRPr="00BE300C" w:rsidRDefault="00BE300C" w:rsidP="00BE30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7. За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життєздатність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00C">
        <w:rPr>
          <w:rFonts w:ascii="Times New Roman" w:hAnsi="Times New Roman" w:cs="Times New Roman"/>
          <w:sz w:val="28"/>
          <w:szCs w:val="28"/>
          <w:lang w:val="ru-RU"/>
        </w:rPr>
        <w:t>повторити</w:t>
      </w:r>
      <w:proofErr w:type="spellEnd"/>
      <w:r w:rsidRPr="00BE300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153FF8" w:rsidRPr="00BE30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BF"/>
    <w:rsid w:val="00153FF8"/>
    <w:rsid w:val="002D07C9"/>
    <w:rsid w:val="005E2919"/>
    <w:rsid w:val="00BE300C"/>
    <w:rsid w:val="00E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7267"/>
  <w15:chartTrackingRefBased/>
  <w15:docId w15:val="{0DB4568B-5211-48CC-A672-2F8B8F7F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2021-10-28T16:38:00Z</dcterms:created>
  <dcterms:modified xsi:type="dcterms:W3CDTF">2021-11-01T04:53:00Z</dcterms:modified>
</cp:coreProperties>
</file>