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284"/>
          <w:tab w:val="left" w:pos="567"/>
        </w:tabs>
        <w:spacing w:line="240" w:lineRule="auto"/>
        <w:ind w:firstLine="539"/>
        <w:contextualSpacing w:val="0"/>
        <w:jc w:val="both"/>
      </w:pPr>
      <w:r w:rsidDel="00000000" w:rsidR="00000000" w:rsidRPr="00000000">
        <w:rPr>
          <w:rFonts w:ascii="Times New Roman" w:cs="Times New Roman" w:eastAsia="Times New Roman" w:hAnsi="Times New Roman"/>
          <w:b w:val="1"/>
          <w:sz w:val="24"/>
          <w:rtl w:val="0"/>
        </w:rPr>
        <w:t xml:space="preserve">Тема 5.</w:t>
      </w:r>
      <w:r w:rsidDel="00000000" w:rsidR="00000000" w:rsidRPr="00000000">
        <w:rPr>
          <w:rFonts w:ascii="Times New Roman" w:cs="Times New Roman" w:eastAsia="Times New Roman" w:hAnsi="Times New Roman"/>
          <w:sz w:val="24"/>
          <w:rtl w:val="0"/>
        </w:rPr>
        <w:t xml:space="preserve"> Апарати управління органів місцевого самоврядування</w:t>
      </w:r>
    </w:p>
    <w:p w:rsidR="00000000" w:rsidDel="00000000" w:rsidP="00000000" w:rsidRDefault="00000000" w:rsidRPr="00000000">
      <w:pPr>
        <w:tabs>
          <w:tab w:val="left" w:pos="284"/>
          <w:tab w:val="left" w:pos="567"/>
        </w:tabs>
        <w:spacing w:line="240" w:lineRule="auto"/>
        <w:ind w:firstLine="539"/>
        <w:contextualSpacing w:val="0"/>
        <w:jc w:val="both"/>
      </w:pPr>
      <w:r w:rsidDel="00000000" w:rsidR="00000000" w:rsidRPr="00000000">
        <w:rPr>
          <w:rFonts w:ascii="Times New Roman" w:cs="Times New Roman" w:eastAsia="Times New Roman" w:hAnsi="Times New Roman"/>
          <w:sz w:val="24"/>
          <w:rtl w:val="0"/>
        </w:rPr>
        <w:t xml:space="preserve">Правовий статус органів місцевого самоврядування. Зміст понять «місцеве самоврядування», «територіальна громада». Європейська Хартія місцевого самоврядування. Закон України «Про місцеве самоврядування в Україні». Принципи місцевого самоврядування.</w:t>
      </w:r>
    </w:p>
    <w:p w:rsidR="00000000" w:rsidDel="00000000" w:rsidP="00000000" w:rsidRDefault="00000000" w:rsidRPr="00000000">
      <w:pPr>
        <w:tabs>
          <w:tab w:val="left" w:pos="284"/>
          <w:tab w:val="left" w:pos="567"/>
        </w:tabs>
        <w:spacing w:line="240" w:lineRule="auto"/>
        <w:ind w:firstLine="539"/>
        <w:contextualSpacing w:val="0"/>
        <w:jc w:val="both"/>
      </w:pPr>
      <w:r w:rsidDel="00000000" w:rsidR="00000000" w:rsidRPr="00000000">
        <w:rPr>
          <w:rFonts w:ascii="Times New Roman" w:cs="Times New Roman" w:eastAsia="Times New Roman" w:hAnsi="Times New Roman"/>
          <w:sz w:val="24"/>
          <w:rtl w:val="0"/>
        </w:rPr>
        <w:t xml:space="preserve">Структура та функції органів місцевого самоврядування. Зміст поняття «структура місцевого самоврядування». Сільські, селищні, міські, районні та обласні ради. Сільський, селищний та міський голова. Депутат місцевої ради. Виконавчі комітети сільських, селищних та міських рад.  Органи самоорганізації населення. Функції органів місцевого самоврядування. Особливості статусу обласних і районних рад. Сесія ради. Комісії ради. Виконавчий апарат обласної та районної ради.</w:t>
      </w:r>
    </w:p>
    <w:p w:rsidR="00000000" w:rsidDel="00000000" w:rsidP="00000000" w:rsidRDefault="00000000" w:rsidRPr="00000000">
      <w:pPr>
        <w:tabs>
          <w:tab w:val="left" w:pos="284"/>
          <w:tab w:val="left" w:pos="567"/>
        </w:tabs>
        <w:spacing w:line="240" w:lineRule="auto"/>
        <w:ind w:firstLine="539"/>
        <w:contextualSpacing w:val="0"/>
        <w:jc w:val="both"/>
      </w:pPr>
      <w:r w:rsidDel="00000000" w:rsidR="00000000" w:rsidRPr="00000000">
        <w:rPr>
          <w:rFonts w:ascii="Times New Roman" w:cs="Times New Roman" w:eastAsia="Times New Roman" w:hAnsi="Times New Roman"/>
          <w:sz w:val="24"/>
          <w:rtl w:val="0"/>
        </w:rPr>
        <w:t xml:space="preserve">Статус службовців органів місцевого самоврядування. Закон України «Про службу в органах місцевого самоврядування». Правовий статус службовця органів місцевого самоврядування. Основні права та обов’язки службовця органів місцевого самоврядування.</w:t>
      </w:r>
    </w:p>
    <w:p w:rsidR="00000000" w:rsidDel="00000000" w:rsidP="00000000" w:rsidRDefault="00000000" w:rsidRPr="00000000">
      <w:pPr>
        <w:spacing w:line="240" w:lineRule="auto"/>
        <w:ind w:firstLine="539"/>
        <w:contextualSpacing w:val="0"/>
        <w:jc w:val="both"/>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