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tl w:val="0"/>
        </w:rPr>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b w:val="1"/>
          <w:sz w:val="24"/>
          <w:rtl w:val="0"/>
        </w:rPr>
        <w:t xml:space="preserve">Тема 7.</w:t>
      </w:r>
      <w:r w:rsidDel="00000000" w:rsidR="00000000" w:rsidRPr="00000000">
        <w:rPr>
          <w:rFonts w:ascii="Times New Roman" w:cs="Times New Roman" w:eastAsia="Times New Roman" w:hAnsi="Times New Roman"/>
          <w:sz w:val="24"/>
          <w:rtl w:val="0"/>
        </w:rPr>
        <w:t xml:space="preserve"> Особливості діяльності апаратів управління в правоохоронній сфері</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Апарат управління прокуратури. Правовий статус прокуратури. Структура та повноваження прокуратури. Апарат прокуратури. Порядок його формування. Процедура проходження служби в апараті прокуратури.</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Апарат управління судових органів. Зміст понять «суд», «судова влада», «судове управління». Закон України «Про судоустрій України». Державна судова адміністрація та її функції. Організаційне забезпечення діяльності судів загальної юрисдикції. Апарат суду. Господарські функції апарату суду.</w:t>
      </w:r>
    </w:p>
    <w:p w:rsidR="00000000" w:rsidDel="00000000" w:rsidP="00000000" w:rsidRDefault="00000000" w:rsidRPr="00000000">
      <w:pPr>
        <w:spacing w:line="240" w:lineRule="auto"/>
        <w:ind w:firstLine="539"/>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