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1BA7FFF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73767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досліджуваної проблематики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292CE9" w14:textId="64041BFF" w:rsid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0CB2F104" w14:textId="47D4D5BC" w:rsidR="00737679" w:rsidRDefault="00737679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185860" w14:textId="77777777" w:rsidR="00737679" w:rsidRPr="00804220" w:rsidRDefault="00737679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C67F3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Правовий режим інформації з обмеженим доступом</w:t>
      </w:r>
    </w:p>
    <w:p w14:paraId="52DCBCC1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Нормативно-правове регулювання захисту персональних даних в Україні.</w:t>
      </w:r>
    </w:p>
    <w:p w14:paraId="79420C08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Правовий режим державної таємниці за законодавством України.</w:t>
      </w:r>
    </w:p>
    <w:p w14:paraId="75D47987" w14:textId="77777777" w:rsidR="00737679" w:rsidRPr="00737679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Правова характеристика основних видів таємної інформації.</w:t>
      </w:r>
    </w:p>
    <w:p w14:paraId="385A2262" w14:textId="73471C29" w:rsidR="00804220" w:rsidRPr="00804220" w:rsidRDefault="00737679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7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37679">
        <w:rPr>
          <w:rFonts w:ascii="Times New Roman" w:hAnsi="Times New Roman" w:cs="Times New Roman"/>
          <w:sz w:val="28"/>
          <w:szCs w:val="28"/>
          <w:lang w:val="uk-UA"/>
        </w:rPr>
        <w:tab/>
        <w:t>Основи кримінальної відповідальності у сфері доступу до інформації.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1A10B9"/>
    <w:rsid w:val="00737679"/>
    <w:rsid w:val="007818A9"/>
    <w:rsid w:val="00804220"/>
    <w:rsid w:val="00A26D5C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2021-10-23T19:03:00Z</dcterms:created>
  <dcterms:modified xsi:type="dcterms:W3CDTF">2021-10-23T19:03:00Z</dcterms:modified>
</cp:coreProperties>
</file>