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Рекомендована література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Основна: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Белявцев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М. І.,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Петенко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І. В.,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Прозорова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І. В. Маркетингова цінова політика: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посібник. Київ : Центр навчальної літератури, 2015. 332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Окландер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Чукурна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О. П. Маркетингова цінова політика.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Київ: Центр учбової літератури, 2012. 240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3. Основи ціноутворення: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/ Н. І.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Верхоглядова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, С. Б. Ільїна та ін. Київ.: Кондор, 2017. 252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Пінішко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В. С. Ціни і ціноутворення: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посібник. Львів: "Інтелект-Захід", 2016. 488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Шкварчук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Л. О. Ціни і ціноутворення: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посібник. Київ.: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Кон-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дор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, 2018. 308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Додаткова: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Задоя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А. О.,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Венгер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С. А. Трансфертне ціноутворення у міжнародному бізнесі. Академічний огляд. 2011.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No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2 (35). URL: http://www.nbuv.gov.ua/portal/Soc_Gum/ao/2011_2/23.pdf.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3. Литвиненко Я. В. Сучасна політика ціноутворення: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посібник. Київ: Вид. центр МАУП, 2013. 212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Мазаракі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, А. А., Мельник Т. М. Регуляторна політика у сфері зовнішньої торгівлі: монографія. Київ: КНТЕУ, 2010. 470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6. Мазур О. Є. Ринкове ціноутворення. Навчальний посібник – Київ: «Центр учбової літератури», 2012. 480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8. Стратегічні засади ціноутворення за умов ризику та невизначеності в системі інноваційного розвитку економічної системи України: монографія / В.М.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Гончаров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та ін. Луганськ: Вид-во СНУ ім. В. Даля, 2017. 208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Ушакова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Н. Г., Савицька Н. Л.. Міжнародне ціноутворення: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Київ.: Професіонал, 2004. 218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10. Ціноутворення: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/ А. О.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Аветисова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 та ін. М-во освіти і науки, молоді та спорту України, Каф. економіки і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упр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0D8A">
        <w:rPr>
          <w:rFonts w:ascii="Times New Roman" w:hAnsi="Times New Roman" w:cs="Times New Roman"/>
          <w:sz w:val="28"/>
          <w:szCs w:val="28"/>
        </w:rPr>
        <w:t>інновац</w:t>
      </w:r>
      <w:proofErr w:type="spellEnd"/>
      <w:r w:rsidRPr="00D20D8A">
        <w:rPr>
          <w:rFonts w:ascii="Times New Roman" w:hAnsi="Times New Roman" w:cs="Times New Roman"/>
          <w:sz w:val="28"/>
          <w:szCs w:val="28"/>
        </w:rPr>
        <w:t>. діяльністю. - Д</w:t>
      </w:r>
      <w:r>
        <w:rPr>
          <w:rFonts w:ascii="Times New Roman" w:hAnsi="Times New Roman" w:cs="Times New Roman"/>
          <w:sz w:val="28"/>
          <w:szCs w:val="28"/>
        </w:rPr>
        <w:t>ніпро</w:t>
      </w:r>
      <w:r w:rsidRPr="00D20D8A">
        <w:rPr>
          <w:rFonts w:ascii="Times New Roman" w:hAnsi="Times New Roman" w:cs="Times New Roman"/>
          <w:sz w:val="28"/>
          <w:szCs w:val="28"/>
        </w:rPr>
        <w:t>: ДНУ,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D20D8A">
        <w:rPr>
          <w:rFonts w:ascii="Times New Roman" w:hAnsi="Times New Roman" w:cs="Times New Roman"/>
          <w:sz w:val="28"/>
          <w:szCs w:val="28"/>
        </w:rPr>
        <w:t xml:space="preserve">. 193 с.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Інформаційні ресурси: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1. Група Світового банку. URL: http://www.worldbank.org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2. Європейська економічна комісія. URL: http://www.unece.org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3. Міжнародна торгова палата. URL: http://www.iccwbo.org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4. Міжнародний валютний фонд. URL: http://www.imf.org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lastRenderedPageBreak/>
        <w:t xml:space="preserve">5. Організація економічного співробітництва і розвитку (ОЕСР). URL: http://www.oecd.org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6. Організація об'єднаних націй (ООН). URL: http://www.un.org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7. Офіційний портал Світової організації торгівлі. URL: http://www.wto.org/ . 8. Портал Європейського Союзу. URL: http://europa.eu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9. Світова організація торгівлі. URL: http://www.wto.org . </w:t>
      </w:r>
    </w:p>
    <w:p w:rsid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 xml:space="preserve">10. Світовий банк. URL: http://www.worldbank.org . </w:t>
      </w:r>
    </w:p>
    <w:p w:rsidR="0071584A" w:rsidRPr="00D20D8A" w:rsidRDefault="00D20D8A" w:rsidP="00D20D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D8A">
        <w:rPr>
          <w:rFonts w:ascii="Times New Roman" w:hAnsi="Times New Roman" w:cs="Times New Roman"/>
          <w:sz w:val="28"/>
          <w:szCs w:val="28"/>
        </w:rPr>
        <w:t>11. Статистична служба Європейської Комісії. URL: http://www.euro</w:t>
      </w:r>
    </w:p>
    <w:sectPr w:rsidR="0071584A" w:rsidRPr="00D20D8A" w:rsidSect="007158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0D8A"/>
    <w:rsid w:val="0071584A"/>
    <w:rsid w:val="00D2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2026-02-03T21:58:00Z</dcterms:created>
  <dcterms:modified xsi:type="dcterms:W3CDTF">2026-02-03T22:02:00Z</dcterms:modified>
</cp:coreProperties>
</file>