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19A" w14:textId="697A3B82" w:rsidR="00AA2E30" w:rsidRDefault="00AA2E30" w:rsidP="00AA2E30">
      <w:pPr>
        <w:pStyle w:val="3"/>
        <w:ind w:left="383" w:right="15"/>
        <w:jc w:val="center"/>
      </w:pPr>
      <w:proofErr w:type="spellStart"/>
      <w:r>
        <w:t>Оцінка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</w:p>
    <w:p w14:paraId="754815D3" w14:textId="77777777" w:rsidR="00AA2E30" w:rsidRDefault="00AA2E30" w:rsidP="00AA2E30">
      <w:pPr>
        <w:pStyle w:val="4"/>
        <w:spacing w:after="35"/>
        <w:ind w:left="393"/>
      </w:pPr>
    </w:p>
    <w:p w14:paraId="11079EDE" w14:textId="3F31D1BD" w:rsidR="00AA2E30" w:rsidRDefault="00AA2E30" w:rsidP="00AA2E30">
      <w:pPr>
        <w:pStyle w:val="4"/>
        <w:spacing w:after="35"/>
        <w:ind w:left="393"/>
      </w:pPr>
      <w:r>
        <w:t xml:space="preserve">Приклад </w:t>
      </w:r>
    </w:p>
    <w:p w14:paraId="6C667008" w14:textId="6BBD95B2" w:rsidR="00AA2E30" w:rsidRDefault="00AA2E30" w:rsidP="00AA2E30">
      <w:pPr>
        <w:spacing w:after="58"/>
        <w:ind w:left="5" w:right="5"/>
      </w:pPr>
      <w:proofErr w:type="spellStart"/>
      <w:r>
        <w:t>Оцінити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(</w:t>
      </w:r>
      <w:r>
        <w:rPr>
          <w:i/>
        </w:rPr>
        <w:t>V</w:t>
      </w:r>
      <w:r>
        <w:rPr>
          <w:i/>
          <w:sz w:val="18"/>
          <w:vertAlign w:val="subscript"/>
        </w:rPr>
        <w:t>IK</w:t>
      </w:r>
      <w:r>
        <w:t xml:space="preserve">)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Свейбі</w:t>
      </w:r>
      <w:proofErr w:type="spellEnd"/>
      <w:r>
        <w:t xml:space="preserve">, </w:t>
      </w:r>
      <w:proofErr w:type="spellStart"/>
      <w:r>
        <w:t>вартісним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,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Тобіна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Паркінсона</w:t>
      </w:r>
      <w:proofErr w:type="spellEnd"/>
      <w:r>
        <w:t xml:space="preserve">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</w:p>
    <w:p w14:paraId="30E4C464" w14:textId="0CC19F5B" w:rsidR="00AA2E30" w:rsidRDefault="00AA2E30" w:rsidP="00AA2E30">
      <w:pPr>
        <w:spacing w:after="52" w:line="259" w:lineRule="auto"/>
        <w:ind w:left="10" w:right="-11" w:hanging="10"/>
        <w:jc w:val="right"/>
      </w:pPr>
      <w:proofErr w:type="spellStart"/>
      <w:r>
        <w:rPr>
          <w:i/>
        </w:rPr>
        <w:t>Таблиця</w:t>
      </w:r>
      <w:proofErr w:type="spellEnd"/>
      <w:r>
        <w:rPr>
          <w:i/>
        </w:rPr>
        <w:t xml:space="preserve"> </w:t>
      </w:r>
    </w:p>
    <w:p w14:paraId="534EEFF1" w14:textId="77777777" w:rsidR="00AA2E30" w:rsidRDefault="00AA2E30" w:rsidP="00AA2E30">
      <w:pPr>
        <w:pStyle w:val="3"/>
        <w:ind w:left="884" w:right="15"/>
      </w:pPr>
      <w:proofErr w:type="spellStart"/>
      <w:r>
        <w:t>Дані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</w:p>
    <w:tbl>
      <w:tblPr>
        <w:tblStyle w:val="TableGrid"/>
        <w:tblW w:w="6487" w:type="dxa"/>
        <w:tblInd w:w="5" w:type="dxa"/>
        <w:tblCellMar>
          <w:top w:w="5" w:type="dxa"/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815"/>
        <w:gridCol w:w="3950"/>
        <w:gridCol w:w="1722"/>
      </w:tblGrid>
      <w:tr w:rsidR="00AA2E30" w14:paraId="43EC75A8" w14:textId="77777777" w:rsidTr="0090778D">
        <w:trPr>
          <w:trHeight w:val="1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D28F" w14:textId="77777777" w:rsidR="00AA2E30" w:rsidRDefault="00AA2E30" w:rsidP="0090778D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18"/>
              </w:rPr>
              <w:t xml:space="preserve">№ </w:t>
            </w:r>
            <w:proofErr w:type="spellStart"/>
            <w:r>
              <w:rPr>
                <w:b/>
                <w:sz w:val="18"/>
              </w:rPr>
              <w:t>п.п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1E7" w14:textId="77777777" w:rsidR="00AA2E30" w:rsidRDefault="00AA2E30" w:rsidP="0090778D">
            <w:pPr>
              <w:spacing w:after="0" w:line="259" w:lineRule="auto"/>
              <w:ind w:left="27" w:firstLine="0"/>
              <w:jc w:val="center"/>
            </w:pPr>
            <w:proofErr w:type="spellStart"/>
            <w:r>
              <w:rPr>
                <w:b/>
                <w:sz w:val="18"/>
              </w:rPr>
              <w:t>Показник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F79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proofErr w:type="spellStart"/>
            <w:r>
              <w:rPr>
                <w:b/>
                <w:sz w:val="18"/>
              </w:rPr>
              <w:t>Значення</w:t>
            </w:r>
            <w:proofErr w:type="spellEnd"/>
          </w:p>
        </w:tc>
      </w:tr>
      <w:tr w:rsidR="00AA2E30" w14:paraId="72454439" w14:textId="77777777" w:rsidTr="0090778D">
        <w:trPr>
          <w:trHeight w:val="2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798F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4062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Ринкова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компанії</w:t>
            </w:r>
            <w:proofErr w:type="spellEnd"/>
            <w:r>
              <w:rPr>
                <w:sz w:val="18"/>
              </w:rPr>
              <w:t xml:space="preserve">,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DCD8" w14:textId="77777777" w:rsidR="00AA2E30" w:rsidRDefault="00AA2E30" w:rsidP="0090778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4EFBD97B" w14:textId="77777777" w:rsidTr="0090778D">
        <w:trPr>
          <w:trHeight w:val="30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55A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7745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Номінальна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компанії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949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25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235B1510" w14:textId="77777777" w:rsidTr="0090778D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3DC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008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активів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D31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21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3D7AB030" w14:textId="77777777" w:rsidTr="0090778D">
        <w:trPr>
          <w:trHeight w:val="29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C7E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B21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нематеріальних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активів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HMA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F67B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14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2542B2B3" w14:textId="77777777" w:rsidTr="0090778D">
        <w:trPr>
          <w:trHeight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03AC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95FC" w14:textId="77777777" w:rsidR="00AA2E30" w:rsidRPr="00AA2E30" w:rsidRDefault="00AA2E30" w:rsidP="0090778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Вартість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основних</w:t>
            </w:r>
            <w:proofErr w:type="spellEnd"/>
            <w:r w:rsidRPr="00AA2E30">
              <w:rPr>
                <w:sz w:val="18"/>
                <w:lang w:val="ru-RU"/>
              </w:rPr>
              <w:t xml:space="preserve"> і </w:t>
            </w:r>
            <w:proofErr w:type="spellStart"/>
            <w:r w:rsidRPr="00AA2E30">
              <w:rPr>
                <w:sz w:val="18"/>
                <w:lang w:val="ru-RU"/>
              </w:rPr>
              <w:t>оборотних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фондів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V</w:t>
            </w:r>
            <w:r>
              <w:rPr>
                <w:i/>
                <w:sz w:val="16"/>
                <w:vertAlign w:val="subscript"/>
              </w:rPr>
              <w:t>OO</w:t>
            </w:r>
            <w:r w:rsidRPr="00AA2E30">
              <w:rPr>
                <w:i/>
                <w:sz w:val="16"/>
                <w:vertAlign w:val="subscript"/>
                <w:lang w:val="ru-RU"/>
              </w:rPr>
              <w:t>Ф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661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7A145A9D" w14:textId="77777777" w:rsidTr="0090778D">
        <w:trPr>
          <w:trHeight w:val="2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DFE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FF42" w14:textId="77777777" w:rsidR="00AA2E30" w:rsidRPr="00AA2E30" w:rsidRDefault="00AA2E30" w:rsidP="0090778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Середній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операційний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дохід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 Е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37A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65 </w:t>
            </w:r>
            <w:proofErr w:type="spellStart"/>
            <w:r>
              <w:rPr>
                <w:sz w:val="18"/>
              </w:rPr>
              <w:t>млн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7CA0D6E8" w14:textId="77777777" w:rsidTr="0090778D">
        <w:trPr>
          <w:trHeight w:val="5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D6E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A3AA" w14:textId="77777777" w:rsidR="00AA2E30" w:rsidRPr="00AA2E30" w:rsidRDefault="00AA2E30" w:rsidP="0090778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Середня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вартість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матеріальних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активів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i/>
                <w:sz w:val="18"/>
              </w:rPr>
              <w:t>V</w:t>
            </w:r>
            <w:r w:rsidRPr="00AA2E30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6"/>
                <w:vertAlign w:val="subscript"/>
              </w:rPr>
              <w:t>MA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097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21 </w:t>
            </w:r>
            <w:proofErr w:type="spellStart"/>
            <w:r>
              <w:rPr>
                <w:sz w:val="18"/>
              </w:rPr>
              <w:t>млн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1716F30F" w14:textId="77777777" w:rsidTr="0090778D">
        <w:trPr>
          <w:trHeight w:val="46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6B42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8E2" w14:textId="77777777" w:rsidR="00AA2E30" w:rsidRPr="00AA2E30" w:rsidRDefault="00AA2E30" w:rsidP="0090778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Середньогалузева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рентабельність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матеріальних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активів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i/>
                <w:sz w:val="18"/>
              </w:rPr>
              <w:t>P</w:t>
            </w:r>
            <w:r w:rsidRPr="00AA2E30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6"/>
                <w:vertAlign w:val="subscript"/>
              </w:rPr>
              <w:t>MA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31FF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11%</w:t>
            </w:r>
          </w:p>
        </w:tc>
      </w:tr>
      <w:tr w:rsidR="00AA2E30" w14:paraId="7E4D7F91" w14:textId="77777777" w:rsidTr="0090778D">
        <w:trPr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3DBF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A42D" w14:textId="77777777" w:rsidR="00AA2E30" w:rsidRPr="00AA2E30" w:rsidRDefault="00AA2E30" w:rsidP="0090778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Середня</w:t>
            </w:r>
            <w:proofErr w:type="spellEnd"/>
            <w:r w:rsidRPr="00AA2E30">
              <w:rPr>
                <w:sz w:val="18"/>
                <w:lang w:val="ru-RU"/>
              </w:rPr>
              <w:t xml:space="preserve"> ставка </w:t>
            </w:r>
            <w:proofErr w:type="spellStart"/>
            <w:r w:rsidRPr="00AA2E30">
              <w:rPr>
                <w:sz w:val="18"/>
                <w:lang w:val="ru-RU"/>
              </w:rPr>
              <w:t>податку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sz w:val="18"/>
              </w:rPr>
              <w:t>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962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25%</w:t>
            </w:r>
          </w:p>
        </w:tc>
      </w:tr>
      <w:tr w:rsidR="00AA2E30" w14:paraId="48C73794" w14:textId="77777777" w:rsidTr="0090778D">
        <w:trPr>
          <w:trHeight w:val="22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C00" w14:textId="77777777" w:rsidR="00AA2E30" w:rsidRDefault="00AA2E30" w:rsidP="0090778D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5CB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Ставка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дисконтування</w:t>
            </w:r>
            <w:proofErr w:type="spellEnd"/>
            <w:r>
              <w:rPr>
                <w:sz w:val="18"/>
              </w:rPr>
              <w:t>, 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4816" w14:textId="77777777" w:rsidR="00AA2E30" w:rsidRDefault="00AA2E30" w:rsidP="0090778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20%</w:t>
            </w:r>
          </w:p>
        </w:tc>
      </w:tr>
    </w:tbl>
    <w:p w14:paraId="759A1A86" w14:textId="77777777" w:rsidR="00AA2E30" w:rsidRDefault="00AA2E30" w:rsidP="00AA2E30">
      <w:pPr>
        <w:pStyle w:val="4"/>
        <w:ind w:left="393"/>
      </w:pPr>
    </w:p>
    <w:p w14:paraId="6A011095" w14:textId="7B0B2512" w:rsidR="00AA2E30" w:rsidRDefault="00AA2E30" w:rsidP="007B062B">
      <w:pPr>
        <w:pStyle w:val="4"/>
        <w:spacing w:after="0"/>
        <w:ind w:left="0"/>
      </w:pPr>
      <w:proofErr w:type="spellStart"/>
      <w:r>
        <w:t>Рішення</w:t>
      </w:r>
      <w:proofErr w:type="spellEnd"/>
    </w:p>
    <w:p w14:paraId="45E61C8A" w14:textId="77777777" w:rsidR="00AA2E30" w:rsidRPr="00AA2E30" w:rsidRDefault="00AA2E30" w:rsidP="007B062B">
      <w:pPr>
        <w:spacing w:after="0"/>
        <w:ind w:left="0" w:firstLine="0"/>
        <w:rPr>
          <w:lang w:val="ru-RU"/>
        </w:rPr>
      </w:pPr>
      <w:proofErr w:type="spellStart"/>
      <w:r w:rsidRPr="00AA2E30">
        <w:rPr>
          <w:lang w:val="ru-RU"/>
        </w:rPr>
        <w:t>Вартість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інтелектуального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капіталу</w:t>
      </w:r>
      <w:proofErr w:type="spellEnd"/>
      <w:r w:rsidRPr="00AA2E30">
        <w:rPr>
          <w:lang w:val="ru-RU"/>
        </w:rPr>
        <w:t xml:space="preserve"> за методом </w:t>
      </w:r>
      <w:proofErr w:type="spellStart"/>
      <w:r w:rsidRPr="00AA2E30">
        <w:rPr>
          <w:lang w:val="ru-RU"/>
        </w:rPr>
        <w:t>Свейбі</w:t>
      </w:r>
      <w:proofErr w:type="spellEnd"/>
      <w:r w:rsidRPr="00AA2E30">
        <w:rPr>
          <w:lang w:val="ru-RU"/>
        </w:rPr>
        <w:t>:</w:t>
      </w:r>
    </w:p>
    <w:p w14:paraId="5D2B0293" w14:textId="77777777" w:rsidR="00AA2E30" w:rsidRDefault="00AA2E30" w:rsidP="007B062B">
      <w:pPr>
        <w:spacing w:after="0" w:line="298" w:lineRule="auto"/>
        <w:ind w:left="0" w:firstLine="0"/>
        <w:rPr>
          <w:lang w:val="ru-RU"/>
        </w:rPr>
      </w:pPr>
      <w:r>
        <w:rPr>
          <w:i/>
        </w:rPr>
        <w:t>V</w:t>
      </w:r>
      <w:r>
        <w:rPr>
          <w:i/>
          <w:sz w:val="18"/>
          <w:vertAlign w:val="subscript"/>
        </w:rPr>
        <w:t>IK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 xml:space="preserve">= </w:t>
      </w:r>
      <w:proofErr w:type="gramStart"/>
      <w:r>
        <w:rPr>
          <w:i/>
        </w:rPr>
        <w:t>V</w:t>
      </w:r>
      <w:r>
        <w:rPr>
          <w:i/>
          <w:sz w:val="18"/>
          <w:vertAlign w:val="subscript"/>
        </w:rPr>
        <w:t>K</w:t>
      </w:r>
      <w:r w:rsidRPr="00AA2E30">
        <w:rPr>
          <w:i/>
          <w:sz w:val="18"/>
          <w:vertAlign w:val="subscript"/>
          <w:lang w:val="ru-RU"/>
        </w:rPr>
        <w:t xml:space="preserve">  </w:t>
      </w:r>
      <w:r w:rsidRPr="00AA2E30">
        <w:rPr>
          <w:i/>
          <w:lang w:val="ru-RU"/>
        </w:rPr>
        <w:t>–</w:t>
      </w:r>
      <w:proofErr w:type="gramEnd"/>
      <w:r w:rsidRPr="00AA2E30">
        <w:rPr>
          <w:i/>
          <w:lang w:val="ru-RU"/>
        </w:rPr>
        <w:t xml:space="preserve"> </w:t>
      </w:r>
      <w:r>
        <w:rPr>
          <w:i/>
        </w:rPr>
        <w:t>V</w:t>
      </w:r>
      <w:r>
        <w:rPr>
          <w:i/>
          <w:sz w:val="18"/>
          <w:vertAlign w:val="subscript"/>
        </w:rPr>
        <w:t>H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>= 110 – 25 = 85</w:t>
      </w:r>
      <w:r w:rsidRPr="00AA2E30">
        <w:rPr>
          <w:lang w:val="ru-RU"/>
        </w:rPr>
        <w:t xml:space="preserve"> млрд дол США. </w:t>
      </w:r>
    </w:p>
    <w:p w14:paraId="27E1B001" w14:textId="33F8719A" w:rsidR="00AA2E30" w:rsidRPr="00AA2E30" w:rsidRDefault="00AA2E30" w:rsidP="007B062B">
      <w:pPr>
        <w:spacing w:after="0" w:line="298" w:lineRule="auto"/>
        <w:ind w:left="0" w:firstLine="0"/>
        <w:rPr>
          <w:lang w:val="ru-RU"/>
        </w:rPr>
      </w:pPr>
      <w:r w:rsidRPr="00AA2E30">
        <w:rPr>
          <w:lang w:val="ru-RU"/>
        </w:rPr>
        <w:t xml:space="preserve">За </w:t>
      </w:r>
      <w:proofErr w:type="spellStart"/>
      <w:r w:rsidRPr="00AA2E30">
        <w:rPr>
          <w:lang w:val="ru-RU"/>
        </w:rPr>
        <w:t>вартісним</w:t>
      </w:r>
      <w:proofErr w:type="spellEnd"/>
      <w:r w:rsidRPr="00AA2E30">
        <w:rPr>
          <w:lang w:val="ru-RU"/>
        </w:rPr>
        <w:t xml:space="preserve"> методом:</w:t>
      </w:r>
    </w:p>
    <w:p w14:paraId="0D4BDE53" w14:textId="77777777" w:rsidR="00AA2E30" w:rsidRPr="00AA2E30" w:rsidRDefault="00AA2E30" w:rsidP="007B062B">
      <w:pPr>
        <w:spacing w:after="0"/>
        <w:ind w:left="0" w:firstLine="0"/>
        <w:rPr>
          <w:lang w:val="ru-RU"/>
        </w:rPr>
      </w:pPr>
      <w:r>
        <w:rPr>
          <w:i/>
        </w:rPr>
        <w:t>V</w:t>
      </w:r>
      <w:r>
        <w:rPr>
          <w:i/>
          <w:sz w:val="18"/>
          <w:vertAlign w:val="subscript"/>
        </w:rPr>
        <w:t>IK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 xml:space="preserve">= </w:t>
      </w:r>
      <w:r>
        <w:rPr>
          <w:i/>
        </w:rPr>
        <w:t>V</w:t>
      </w:r>
      <w:r>
        <w:rPr>
          <w:i/>
          <w:sz w:val="18"/>
          <w:vertAlign w:val="subscript"/>
        </w:rPr>
        <w:t>R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>– (</w:t>
      </w:r>
      <w:proofErr w:type="gramStart"/>
      <w:r>
        <w:rPr>
          <w:i/>
        </w:rPr>
        <w:t>V</w:t>
      </w:r>
      <w:r>
        <w:rPr>
          <w:i/>
          <w:sz w:val="18"/>
          <w:vertAlign w:val="subscript"/>
        </w:rPr>
        <w:t>A</w:t>
      </w:r>
      <w:r w:rsidRPr="00AA2E30">
        <w:rPr>
          <w:i/>
          <w:sz w:val="18"/>
          <w:vertAlign w:val="subscript"/>
          <w:lang w:val="ru-RU"/>
        </w:rPr>
        <w:t xml:space="preserve">  </w:t>
      </w:r>
      <w:r w:rsidRPr="00AA2E30">
        <w:rPr>
          <w:i/>
          <w:lang w:val="ru-RU"/>
        </w:rPr>
        <w:t>–</w:t>
      </w:r>
      <w:proofErr w:type="gramEnd"/>
      <w:r w:rsidRPr="00AA2E30">
        <w:rPr>
          <w:i/>
          <w:sz w:val="18"/>
          <w:vertAlign w:val="subscript"/>
          <w:lang w:val="ru-RU"/>
        </w:rPr>
        <w:t xml:space="preserve">  </w:t>
      </w:r>
      <w:r>
        <w:rPr>
          <w:i/>
        </w:rPr>
        <w:t>V</w:t>
      </w:r>
      <w:r>
        <w:rPr>
          <w:i/>
          <w:sz w:val="18"/>
          <w:vertAlign w:val="subscript"/>
        </w:rPr>
        <w:t>HMA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 xml:space="preserve">) = 110 –(25 – 14) = 99 </w:t>
      </w:r>
      <w:r w:rsidRPr="00AA2E30">
        <w:rPr>
          <w:lang w:val="ru-RU"/>
        </w:rPr>
        <w:t xml:space="preserve">млрд дол. США. </w:t>
      </w:r>
    </w:p>
    <w:p w14:paraId="1829CFFC" w14:textId="560EB53E" w:rsidR="00AA2E30" w:rsidRPr="00AA2E30" w:rsidRDefault="00AA2E30" w:rsidP="007B062B">
      <w:pPr>
        <w:spacing w:after="0"/>
        <w:ind w:left="0" w:firstLine="0"/>
        <w:rPr>
          <w:lang w:val="ru-RU"/>
        </w:rPr>
      </w:pPr>
      <w:proofErr w:type="spellStart"/>
      <w:r w:rsidRPr="00AA2E30">
        <w:rPr>
          <w:lang w:val="ru-RU"/>
        </w:rPr>
        <w:t>Коефіцієнт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Тобіна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розраховується</w:t>
      </w:r>
      <w:proofErr w:type="spellEnd"/>
      <w:r w:rsidRPr="00AA2E30">
        <w:rPr>
          <w:lang w:val="ru-RU"/>
        </w:rPr>
        <w:t xml:space="preserve"> за формулою:</w:t>
      </w:r>
    </w:p>
    <w:p w14:paraId="171CC42D" w14:textId="473AE0BC" w:rsidR="00AA2E30" w:rsidRPr="00AA2E30" w:rsidRDefault="00AA2E30" w:rsidP="007B062B">
      <w:pPr>
        <w:tabs>
          <w:tab w:val="center" w:pos="1100"/>
          <w:tab w:val="center" w:pos="1855"/>
          <w:tab w:val="center" w:pos="2351"/>
          <w:tab w:val="center" w:pos="2910"/>
        </w:tabs>
        <w:spacing w:after="0" w:line="249" w:lineRule="auto"/>
        <w:ind w:left="0" w:firstLine="0"/>
        <w:jc w:val="left"/>
        <w:rPr>
          <w:lang w:val="ru-RU"/>
        </w:rPr>
      </w:pPr>
      <w:r w:rsidRPr="00AA2E30">
        <w:rPr>
          <w:rFonts w:ascii="Calibri" w:eastAsia="Calibri" w:hAnsi="Calibri" w:cs="Calibri"/>
          <w:sz w:val="22"/>
          <w:lang w:val="ru-RU"/>
        </w:rPr>
        <w:tab/>
      </w:r>
      <w:r>
        <w:rPr>
          <w:i/>
        </w:rPr>
        <w:t>V</w:t>
      </w:r>
      <w:r>
        <w:rPr>
          <w:i/>
          <w:sz w:val="18"/>
          <w:vertAlign w:val="subscript"/>
        </w:rPr>
        <w:t>IK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i/>
          <w:lang w:val="ru-RU"/>
        </w:rPr>
        <w:t xml:space="preserve">= </w:t>
      </w:r>
      <w:r w:rsidRPr="00AA2E30">
        <w:rPr>
          <w:i/>
        </w:rPr>
        <w:t>V</w:t>
      </w:r>
      <w:r>
        <w:rPr>
          <w:i/>
          <w:vertAlign w:val="subscript"/>
          <w:lang w:val="ru-RU"/>
        </w:rPr>
        <w:t>к</w:t>
      </w:r>
      <w:r>
        <w:rPr>
          <w:i/>
          <w:vertAlign w:val="subscript"/>
        </w:rPr>
        <w:t xml:space="preserve"> </w:t>
      </w:r>
      <w:r>
        <w:rPr>
          <w:i/>
        </w:rPr>
        <w:t xml:space="preserve">/ </w:t>
      </w:r>
      <w:r w:rsidRPr="00AA2E30">
        <w:rPr>
          <w:i/>
        </w:rPr>
        <w:t>V</w:t>
      </w:r>
      <w:r w:rsidRPr="00AA2E30">
        <w:rPr>
          <w:i/>
          <w:sz w:val="12"/>
          <w:lang w:val="ru-RU"/>
        </w:rPr>
        <w:t>ОО</w:t>
      </w:r>
      <w:r w:rsidRPr="00AA2E30">
        <w:rPr>
          <w:i/>
          <w:sz w:val="12"/>
          <w:lang w:val="ru-RU"/>
        </w:rPr>
        <w:tab/>
      </w:r>
      <w:r w:rsidRPr="00AA2E30">
        <w:rPr>
          <w:i/>
          <w:lang w:val="ru-RU"/>
        </w:rPr>
        <w:t>=</w:t>
      </w:r>
      <w:r w:rsidRPr="00AA2E30">
        <w:rPr>
          <w:i/>
          <w:lang w:val="ru-RU"/>
        </w:rPr>
        <w:tab/>
      </w:r>
      <w:r w:rsidRPr="00AA2E30">
        <w:rPr>
          <w:i/>
          <w:u w:val="single" w:color="000000"/>
          <w:lang w:val="ru-RU"/>
        </w:rPr>
        <w:t>11</w:t>
      </w:r>
      <w:r>
        <w:rPr>
          <w:i/>
          <w:u w:val="single" w:color="000000"/>
        </w:rPr>
        <w:t>0/</w:t>
      </w:r>
      <w:r w:rsidRPr="00AA2E30">
        <w:rPr>
          <w:i/>
          <w:lang w:val="ru-RU"/>
        </w:rPr>
        <w:t>15</w:t>
      </w:r>
      <w:r w:rsidRPr="00AA2E30">
        <w:rPr>
          <w:i/>
          <w:lang w:val="ru-RU"/>
        </w:rPr>
        <w:tab/>
        <w:t>= 7,3</w:t>
      </w:r>
    </w:p>
    <w:p w14:paraId="459EACB7" w14:textId="77777777" w:rsidR="00AA2E30" w:rsidRPr="00AA2E30" w:rsidRDefault="00AA2E30" w:rsidP="007B062B">
      <w:pPr>
        <w:spacing w:after="0"/>
        <w:ind w:left="0"/>
        <w:rPr>
          <w:lang w:val="ru-RU"/>
        </w:rPr>
      </w:pPr>
      <w:r w:rsidRPr="00AA2E30">
        <w:rPr>
          <w:lang w:val="ru-RU"/>
        </w:rPr>
        <w:t xml:space="preserve">За методом </w:t>
      </w:r>
      <w:proofErr w:type="spellStart"/>
      <w:r w:rsidRPr="00AA2E30">
        <w:rPr>
          <w:lang w:val="ru-RU"/>
        </w:rPr>
        <w:t>Паркінсона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інтелектуальний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капітал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оцінюється</w:t>
      </w:r>
      <w:proofErr w:type="spellEnd"/>
      <w:r w:rsidRPr="00AA2E30">
        <w:rPr>
          <w:lang w:val="ru-RU"/>
        </w:rPr>
        <w:t xml:space="preserve"> як чиста </w:t>
      </w:r>
      <w:proofErr w:type="spellStart"/>
      <w:r w:rsidRPr="00AA2E30">
        <w:rPr>
          <w:lang w:val="ru-RU"/>
        </w:rPr>
        <w:t>поточна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вартість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нематеріальних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активів</w:t>
      </w:r>
      <w:proofErr w:type="spellEnd"/>
      <w:r w:rsidRPr="00AA2E30">
        <w:rPr>
          <w:lang w:val="ru-RU"/>
        </w:rPr>
        <w:t xml:space="preserve">. </w:t>
      </w:r>
    </w:p>
    <w:p w14:paraId="7354D56C" w14:textId="77777777" w:rsidR="00AA2E30" w:rsidRPr="00AA2E30" w:rsidRDefault="00AA2E30" w:rsidP="007B062B">
      <w:pPr>
        <w:spacing w:after="0"/>
        <w:ind w:left="0"/>
        <w:rPr>
          <w:lang w:val="ru-RU"/>
        </w:rPr>
      </w:pPr>
      <w:r w:rsidRPr="00AA2E30">
        <w:rPr>
          <w:lang w:val="ru-RU"/>
        </w:rPr>
        <w:t>«</w:t>
      </w:r>
      <w:proofErr w:type="spellStart"/>
      <w:r w:rsidRPr="00AA2E30">
        <w:rPr>
          <w:lang w:val="ru-RU"/>
        </w:rPr>
        <w:t>Зайвий</w:t>
      </w:r>
      <w:proofErr w:type="spellEnd"/>
      <w:r w:rsidRPr="00AA2E30">
        <w:rPr>
          <w:lang w:val="ru-RU"/>
        </w:rPr>
        <w:t xml:space="preserve">» </w:t>
      </w:r>
      <w:proofErr w:type="spellStart"/>
      <w:r w:rsidRPr="00AA2E30">
        <w:rPr>
          <w:lang w:val="ru-RU"/>
        </w:rPr>
        <w:t>або</w:t>
      </w:r>
      <w:proofErr w:type="spellEnd"/>
      <w:r w:rsidRPr="00AA2E30">
        <w:rPr>
          <w:lang w:val="ru-RU"/>
        </w:rPr>
        <w:t xml:space="preserve"> «</w:t>
      </w:r>
      <w:proofErr w:type="spellStart"/>
      <w:r w:rsidRPr="00AA2E30">
        <w:rPr>
          <w:lang w:val="ru-RU"/>
        </w:rPr>
        <w:t>надлишковий</w:t>
      </w:r>
      <w:proofErr w:type="spellEnd"/>
      <w:r w:rsidRPr="00AA2E30">
        <w:rPr>
          <w:lang w:val="ru-RU"/>
        </w:rPr>
        <w:t xml:space="preserve">» </w:t>
      </w:r>
      <w:proofErr w:type="spellStart"/>
      <w:r w:rsidRPr="00AA2E30">
        <w:rPr>
          <w:lang w:val="ru-RU"/>
        </w:rPr>
        <w:t>прибуток</w:t>
      </w:r>
      <w:proofErr w:type="spellEnd"/>
      <w:r w:rsidRPr="00AA2E30">
        <w:rPr>
          <w:lang w:val="ru-RU"/>
        </w:rPr>
        <w:t xml:space="preserve"> (НП) </w:t>
      </w:r>
      <w:proofErr w:type="spellStart"/>
      <w:r w:rsidRPr="00AA2E30">
        <w:rPr>
          <w:lang w:val="ru-RU"/>
        </w:rPr>
        <w:t>розраховується</w:t>
      </w:r>
      <w:proofErr w:type="spellEnd"/>
      <w:r w:rsidRPr="00AA2E30">
        <w:rPr>
          <w:lang w:val="ru-RU"/>
        </w:rPr>
        <w:t xml:space="preserve"> за формулою: </w:t>
      </w:r>
    </w:p>
    <w:p w14:paraId="07B06212" w14:textId="77777777" w:rsidR="007B062B" w:rsidRDefault="00AA2E30" w:rsidP="007B062B">
      <w:pPr>
        <w:spacing w:after="0"/>
        <w:ind w:left="0" w:firstLine="0"/>
        <w:rPr>
          <w:lang w:val="ru-RU"/>
        </w:rPr>
      </w:pPr>
      <w:r w:rsidRPr="00AA2E30">
        <w:rPr>
          <w:i/>
          <w:lang w:val="ru-RU"/>
        </w:rPr>
        <w:t>НП</w:t>
      </w:r>
      <w:r w:rsidRPr="00AA2E30">
        <w:rPr>
          <w:lang w:val="ru-RU"/>
        </w:rPr>
        <w:t xml:space="preserve">= 65–(31*0,11) =61,59 млрд дол. США. </w:t>
      </w:r>
    </w:p>
    <w:p w14:paraId="188C947C" w14:textId="56C2BBED" w:rsidR="00AA2E30" w:rsidRPr="00AA2E30" w:rsidRDefault="00AA2E30" w:rsidP="007B062B">
      <w:pPr>
        <w:spacing w:after="0"/>
        <w:ind w:left="0" w:firstLine="0"/>
        <w:rPr>
          <w:lang w:val="ru-RU"/>
        </w:rPr>
      </w:pPr>
      <w:proofErr w:type="spellStart"/>
      <w:r w:rsidRPr="00AA2E30">
        <w:rPr>
          <w:lang w:val="ru-RU"/>
        </w:rPr>
        <w:t>Премія</w:t>
      </w:r>
      <w:proofErr w:type="spellEnd"/>
      <w:r w:rsidRPr="00AA2E30">
        <w:rPr>
          <w:lang w:val="ru-RU"/>
        </w:rPr>
        <w:t xml:space="preserve"> (П) становить:</w:t>
      </w:r>
    </w:p>
    <w:p w14:paraId="64292373" w14:textId="77777777" w:rsidR="00AA2E30" w:rsidRPr="00AA2E30" w:rsidRDefault="00AA2E30" w:rsidP="007B062B">
      <w:pPr>
        <w:spacing w:after="0"/>
        <w:ind w:left="0" w:firstLine="0"/>
        <w:rPr>
          <w:lang w:val="ru-RU"/>
        </w:rPr>
      </w:pPr>
      <w:r w:rsidRPr="00AA2E30">
        <w:rPr>
          <w:i/>
          <w:lang w:val="ru-RU"/>
        </w:rPr>
        <w:t>НП</w:t>
      </w:r>
      <w:r w:rsidRPr="00AA2E30">
        <w:rPr>
          <w:lang w:val="ru-RU"/>
        </w:rPr>
        <w:t>= 65–(31*0,11) =61,59 млрд дол. США.</w:t>
      </w:r>
    </w:p>
    <w:p w14:paraId="1941DAC8" w14:textId="77777777" w:rsidR="00AA2E30" w:rsidRPr="00AA2E30" w:rsidRDefault="00AA2E30" w:rsidP="007B062B">
      <w:pPr>
        <w:spacing w:after="0"/>
        <w:ind w:left="0" w:firstLine="0"/>
        <w:rPr>
          <w:lang w:val="ru-RU"/>
        </w:rPr>
      </w:pPr>
      <w:r w:rsidRPr="00AA2E30">
        <w:rPr>
          <w:lang w:val="ru-RU"/>
        </w:rPr>
        <w:t xml:space="preserve">Чиста </w:t>
      </w:r>
      <w:proofErr w:type="spellStart"/>
      <w:r w:rsidRPr="00AA2E30">
        <w:rPr>
          <w:lang w:val="ru-RU"/>
        </w:rPr>
        <w:t>поточна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вартість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нематеріальних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активів</w:t>
      </w:r>
      <w:proofErr w:type="spellEnd"/>
      <w:r w:rsidRPr="00AA2E30">
        <w:rPr>
          <w:lang w:val="ru-RU"/>
        </w:rPr>
        <w:t xml:space="preserve"> (ЧПВ) становить:</w:t>
      </w:r>
    </w:p>
    <w:p w14:paraId="0E72E2A2" w14:textId="77777777" w:rsidR="00AA2E30" w:rsidRPr="00AA2E30" w:rsidRDefault="00AA2E30" w:rsidP="007B062B">
      <w:pPr>
        <w:spacing w:after="0"/>
        <w:ind w:left="0" w:firstLine="0"/>
        <w:rPr>
          <w:lang w:val="ru-RU"/>
        </w:rPr>
      </w:pPr>
      <w:r w:rsidRPr="00AA2E30">
        <w:rPr>
          <w:i/>
          <w:lang w:val="ru-RU"/>
        </w:rPr>
        <w:t xml:space="preserve">ЧПВ= </w:t>
      </w:r>
      <w:r>
        <w:rPr>
          <w:noProof/>
        </w:rPr>
        <w:drawing>
          <wp:inline distT="0" distB="0" distL="0" distR="0" wp14:anchorId="2B3BDB6A" wp14:editId="325D4521">
            <wp:extent cx="390144" cy="243840"/>
            <wp:effectExtent l="0" t="0" r="0" b="0"/>
            <wp:docPr id="175410" name="Picture 17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0" name="Picture 1754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E30">
        <w:rPr>
          <w:i/>
          <w:lang w:val="ru-RU"/>
        </w:rPr>
        <w:t xml:space="preserve"> = 38,49 </w:t>
      </w:r>
      <w:r w:rsidRPr="00AA2E30">
        <w:rPr>
          <w:lang w:val="ru-RU"/>
        </w:rPr>
        <w:t>млрд дол. США</w:t>
      </w:r>
    </w:p>
    <w:p w14:paraId="18AECA7B" w14:textId="77777777" w:rsidR="007B062B" w:rsidRDefault="007B062B" w:rsidP="00AA2E30">
      <w:pPr>
        <w:pStyle w:val="4"/>
        <w:spacing w:after="39"/>
        <w:ind w:left="393"/>
      </w:pPr>
    </w:p>
    <w:p w14:paraId="686D0843" w14:textId="14AF0064" w:rsidR="00AA2E30" w:rsidRDefault="00AA2E30" w:rsidP="00AA2E30">
      <w:pPr>
        <w:pStyle w:val="4"/>
        <w:spacing w:after="39"/>
        <w:ind w:left="393"/>
      </w:pPr>
      <w:proofErr w:type="spellStart"/>
      <w:r>
        <w:t>Завдання</w:t>
      </w:r>
      <w:proofErr w:type="spellEnd"/>
    </w:p>
    <w:p w14:paraId="39E2E102" w14:textId="267D2536" w:rsidR="00AA2E30" w:rsidRPr="007B062B" w:rsidRDefault="00AA2E30" w:rsidP="00AA2E30">
      <w:pPr>
        <w:spacing w:line="303" w:lineRule="auto"/>
        <w:ind w:left="5" w:right="5"/>
        <w:rPr>
          <w:lang w:val="uk-UA"/>
        </w:rPr>
      </w:pPr>
      <w:proofErr w:type="spellStart"/>
      <w:r w:rsidRPr="00AA2E30">
        <w:rPr>
          <w:lang w:val="ru-RU"/>
        </w:rPr>
        <w:t>Оцініть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вартість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інтелектуального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капіталу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компанії</w:t>
      </w:r>
      <w:proofErr w:type="spellEnd"/>
      <w:r w:rsidRPr="00AA2E30">
        <w:rPr>
          <w:lang w:val="ru-RU"/>
        </w:rPr>
        <w:t xml:space="preserve"> </w:t>
      </w:r>
      <w:r>
        <w:rPr>
          <w:i/>
        </w:rPr>
        <w:t>V</w:t>
      </w:r>
      <w:r>
        <w:rPr>
          <w:i/>
          <w:sz w:val="18"/>
          <w:vertAlign w:val="subscript"/>
        </w:rPr>
        <w:t>IK</w:t>
      </w:r>
      <w:r w:rsidRPr="00AA2E30">
        <w:rPr>
          <w:i/>
          <w:sz w:val="18"/>
          <w:vertAlign w:val="subscript"/>
          <w:lang w:val="ru-RU"/>
        </w:rPr>
        <w:t xml:space="preserve"> </w:t>
      </w:r>
      <w:r w:rsidRPr="00AA2E30">
        <w:rPr>
          <w:lang w:val="ru-RU"/>
        </w:rPr>
        <w:t xml:space="preserve">методом </w:t>
      </w:r>
      <w:proofErr w:type="spellStart"/>
      <w:r w:rsidRPr="00AA2E30">
        <w:rPr>
          <w:lang w:val="ru-RU"/>
        </w:rPr>
        <w:t>Свейбі</w:t>
      </w:r>
      <w:proofErr w:type="spellEnd"/>
      <w:r w:rsidRPr="00AA2E30">
        <w:rPr>
          <w:lang w:val="ru-RU"/>
        </w:rPr>
        <w:t xml:space="preserve">, </w:t>
      </w:r>
      <w:proofErr w:type="spellStart"/>
      <w:r w:rsidRPr="00AA2E30">
        <w:rPr>
          <w:lang w:val="ru-RU"/>
        </w:rPr>
        <w:t>вартісним</w:t>
      </w:r>
      <w:proofErr w:type="spellEnd"/>
      <w:r w:rsidRPr="00AA2E30">
        <w:rPr>
          <w:lang w:val="ru-RU"/>
        </w:rPr>
        <w:t xml:space="preserve"> методом, методом </w:t>
      </w:r>
      <w:proofErr w:type="spellStart"/>
      <w:r w:rsidRPr="00AA2E30">
        <w:rPr>
          <w:lang w:val="ru-RU"/>
        </w:rPr>
        <w:t>Тобіна</w:t>
      </w:r>
      <w:proofErr w:type="spellEnd"/>
      <w:r w:rsidRPr="00AA2E30">
        <w:rPr>
          <w:lang w:val="ru-RU"/>
        </w:rPr>
        <w:t xml:space="preserve"> та методом </w:t>
      </w:r>
      <w:proofErr w:type="spellStart"/>
      <w:r w:rsidRPr="00AA2E30">
        <w:rPr>
          <w:lang w:val="ru-RU"/>
        </w:rPr>
        <w:t>Паркінсона</w:t>
      </w:r>
      <w:proofErr w:type="spellEnd"/>
      <w:r w:rsidRPr="00AA2E30">
        <w:rPr>
          <w:lang w:val="ru-RU"/>
        </w:rPr>
        <w:t xml:space="preserve">. </w:t>
      </w:r>
      <w:r w:rsidR="007B062B">
        <w:rPr>
          <w:lang w:val="uk-UA"/>
        </w:rPr>
        <w:t xml:space="preserve">Дайте характеристику </w:t>
      </w:r>
      <w:proofErr w:type="spellStart"/>
      <w:r w:rsidR="007B062B">
        <w:rPr>
          <w:lang w:val="uk-UA"/>
        </w:rPr>
        <w:t>ситуаціі</w:t>
      </w:r>
      <w:proofErr w:type="spellEnd"/>
    </w:p>
    <w:p w14:paraId="4FDEEE6E" w14:textId="7819373D" w:rsidR="00AA2E30" w:rsidRPr="00AA2E30" w:rsidRDefault="00AA2E30" w:rsidP="00AA2E30">
      <w:pPr>
        <w:ind w:left="5" w:right="5" w:firstLine="0"/>
        <w:rPr>
          <w:lang w:val="ru-RU"/>
        </w:rPr>
      </w:pPr>
      <w:proofErr w:type="spellStart"/>
      <w:r w:rsidRPr="00AA2E30">
        <w:rPr>
          <w:lang w:val="ru-RU"/>
        </w:rPr>
        <w:t>Дані</w:t>
      </w:r>
      <w:proofErr w:type="spellEnd"/>
      <w:r w:rsidRPr="00AA2E30">
        <w:rPr>
          <w:lang w:val="ru-RU"/>
        </w:rPr>
        <w:t xml:space="preserve"> для </w:t>
      </w:r>
      <w:proofErr w:type="spellStart"/>
      <w:r w:rsidRPr="00AA2E30">
        <w:rPr>
          <w:lang w:val="ru-RU"/>
        </w:rPr>
        <w:t>розрахунку</w:t>
      </w:r>
      <w:proofErr w:type="spellEnd"/>
      <w:r w:rsidRPr="00AA2E30">
        <w:rPr>
          <w:lang w:val="ru-RU"/>
        </w:rPr>
        <w:t xml:space="preserve"> </w:t>
      </w:r>
      <w:proofErr w:type="spellStart"/>
      <w:r w:rsidRPr="00AA2E30">
        <w:rPr>
          <w:lang w:val="ru-RU"/>
        </w:rPr>
        <w:t>наведені</w:t>
      </w:r>
      <w:proofErr w:type="spellEnd"/>
      <w:r w:rsidRPr="00AA2E30">
        <w:rPr>
          <w:lang w:val="ru-RU"/>
        </w:rPr>
        <w:t xml:space="preserve"> в </w:t>
      </w:r>
      <w:proofErr w:type="spellStart"/>
      <w:r w:rsidRPr="00AA2E30">
        <w:rPr>
          <w:lang w:val="ru-RU"/>
        </w:rPr>
        <w:t>таблиці</w:t>
      </w:r>
      <w:proofErr w:type="spellEnd"/>
      <w:r w:rsidRPr="00AA2E30">
        <w:rPr>
          <w:lang w:val="ru-RU"/>
        </w:rPr>
        <w:t xml:space="preserve"> </w:t>
      </w:r>
    </w:p>
    <w:p w14:paraId="366DD099" w14:textId="3BA04EF8" w:rsidR="00AA2E30" w:rsidRPr="00AA2E30" w:rsidRDefault="00AA2E30" w:rsidP="00AA2E30">
      <w:pPr>
        <w:spacing w:after="52" w:line="259" w:lineRule="auto"/>
        <w:ind w:left="10" w:right="-11" w:hanging="10"/>
        <w:jc w:val="right"/>
        <w:rPr>
          <w:lang w:val="ru-RU"/>
        </w:rPr>
      </w:pPr>
      <w:proofErr w:type="spellStart"/>
      <w:r w:rsidRPr="00AA2E30">
        <w:rPr>
          <w:i/>
          <w:lang w:val="ru-RU"/>
        </w:rPr>
        <w:t>Таблиця</w:t>
      </w:r>
      <w:proofErr w:type="spellEnd"/>
      <w:r w:rsidRPr="00AA2E30">
        <w:rPr>
          <w:i/>
          <w:lang w:val="ru-RU"/>
        </w:rPr>
        <w:t xml:space="preserve"> </w:t>
      </w:r>
    </w:p>
    <w:p w14:paraId="2DE840DE" w14:textId="77777777" w:rsidR="00AA2E30" w:rsidRDefault="00AA2E30" w:rsidP="00AA2E30">
      <w:pPr>
        <w:pStyle w:val="3"/>
        <w:ind w:left="885" w:right="15"/>
      </w:pPr>
      <w:proofErr w:type="spellStart"/>
      <w:r>
        <w:t>Дані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капіталу</w:t>
      </w:r>
      <w:proofErr w:type="spellEnd"/>
    </w:p>
    <w:tbl>
      <w:tblPr>
        <w:tblStyle w:val="TableGrid"/>
        <w:tblW w:w="6487" w:type="dxa"/>
        <w:tblInd w:w="5" w:type="dxa"/>
        <w:tblCellMar>
          <w:top w:w="28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650"/>
        <w:gridCol w:w="3869"/>
        <w:gridCol w:w="1968"/>
      </w:tblGrid>
      <w:tr w:rsidR="00AA2E30" w14:paraId="0E92E7CE" w14:textId="77777777" w:rsidTr="0090778D">
        <w:trPr>
          <w:trHeight w:val="2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2D5" w14:textId="77777777" w:rsidR="00AA2E30" w:rsidRDefault="00AA2E30" w:rsidP="0090778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№ </w:t>
            </w:r>
            <w:proofErr w:type="spellStart"/>
            <w:r>
              <w:rPr>
                <w:b/>
                <w:sz w:val="18"/>
              </w:rPr>
              <w:t>п.п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95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Показник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3AC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Значення</w:t>
            </w:r>
            <w:proofErr w:type="spellEnd"/>
          </w:p>
        </w:tc>
      </w:tr>
      <w:tr w:rsidR="00AA2E30" w14:paraId="30D74E9B" w14:textId="77777777" w:rsidTr="0090778D">
        <w:trPr>
          <w:trHeight w:val="24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94D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30B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Ринкова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компанії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F31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54C138AA" w14:textId="77777777" w:rsidTr="0090778D">
        <w:trPr>
          <w:trHeight w:val="2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80D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919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Номінальна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компанії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5DC5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18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289EB2AE" w14:textId="77777777" w:rsidTr="0090778D">
        <w:trPr>
          <w:trHeight w:val="23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364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D0CE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активів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1A1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25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008977B4" w14:textId="77777777" w:rsidTr="0090778D">
        <w:trPr>
          <w:trHeight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3FB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BEC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Вартість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нематеріальних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активів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6"/>
                <w:vertAlign w:val="subscript"/>
              </w:rPr>
              <w:t>HMA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2A66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17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60A4366B" w14:textId="77777777" w:rsidTr="0090778D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F667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83C" w14:textId="77777777" w:rsidR="00AA2E30" w:rsidRPr="00AA2E30" w:rsidRDefault="00AA2E30" w:rsidP="0090778D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Вартість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основних</w:t>
            </w:r>
            <w:proofErr w:type="spellEnd"/>
            <w:r w:rsidRPr="00AA2E30">
              <w:rPr>
                <w:sz w:val="18"/>
                <w:lang w:val="ru-RU"/>
              </w:rPr>
              <w:t xml:space="preserve"> і </w:t>
            </w:r>
            <w:proofErr w:type="spellStart"/>
            <w:r w:rsidRPr="00AA2E30">
              <w:rPr>
                <w:sz w:val="18"/>
                <w:lang w:val="ru-RU"/>
              </w:rPr>
              <w:t>оборотних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фондів</w:t>
            </w:r>
            <w:proofErr w:type="spellEnd"/>
            <w:r w:rsidRPr="00AA2E30">
              <w:rPr>
                <w:sz w:val="18"/>
                <w:lang w:val="ru-RU"/>
              </w:rPr>
              <w:t xml:space="preserve">, </w:t>
            </w:r>
            <w:r>
              <w:rPr>
                <w:i/>
                <w:sz w:val="28"/>
                <w:vertAlign w:val="superscript"/>
              </w:rPr>
              <w:t>V</w:t>
            </w:r>
            <w:r>
              <w:rPr>
                <w:i/>
                <w:sz w:val="16"/>
                <w:vertAlign w:val="subscript"/>
              </w:rPr>
              <w:t>O</w:t>
            </w:r>
            <w:r w:rsidRPr="00AA2E30">
              <w:rPr>
                <w:i/>
                <w:sz w:val="16"/>
                <w:vertAlign w:val="subscript"/>
                <w:lang w:val="ru-RU"/>
              </w:rPr>
              <w:t>ОФ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A78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млрд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0AF1B5BD" w14:textId="77777777" w:rsidTr="0090778D">
        <w:trPr>
          <w:trHeight w:val="2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A0B5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0092" w14:textId="77777777" w:rsidR="00AA2E30" w:rsidRPr="00AA2E30" w:rsidRDefault="00AA2E30" w:rsidP="0090778D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Середній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операційний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дохід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 w:rsidRPr="00AA2E30">
              <w:rPr>
                <w:i/>
                <w:sz w:val="18"/>
                <w:lang w:val="ru-RU"/>
              </w:rPr>
              <w:t>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916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77 </w:t>
            </w:r>
            <w:proofErr w:type="spellStart"/>
            <w:r>
              <w:rPr>
                <w:sz w:val="18"/>
              </w:rPr>
              <w:t>млн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4C43345F" w14:textId="77777777" w:rsidTr="0090778D">
        <w:trPr>
          <w:trHeight w:val="4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7D8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E8C" w14:textId="77777777" w:rsidR="00AA2E30" w:rsidRPr="00AA2E30" w:rsidRDefault="00AA2E30" w:rsidP="0090778D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Середня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вартість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матеріальних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активів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i/>
                <w:sz w:val="28"/>
                <w:vertAlign w:val="superscript"/>
              </w:rPr>
              <w:t>V</w:t>
            </w:r>
            <w:r>
              <w:rPr>
                <w:i/>
                <w:sz w:val="16"/>
                <w:vertAlign w:val="subscript"/>
              </w:rPr>
              <w:t>MA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C0D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11 </w:t>
            </w:r>
            <w:proofErr w:type="spellStart"/>
            <w:r>
              <w:rPr>
                <w:sz w:val="18"/>
              </w:rPr>
              <w:t>млн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</w:t>
            </w:r>
            <w:proofErr w:type="spellEnd"/>
            <w:r>
              <w:rPr>
                <w:sz w:val="18"/>
              </w:rPr>
              <w:t>. США</w:t>
            </w:r>
          </w:p>
        </w:tc>
      </w:tr>
      <w:tr w:rsidR="00AA2E30" w14:paraId="094AA00C" w14:textId="77777777" w:rsidTr="0090778D">
        <w:trPr>
          <w:trHeight w:val="4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FC73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B22" w14:textId="77777777" w:rsidR="00AA2E30" w:rsidRPr="00AA2E30" w:rsidRDefault="00AA2E30" w:rsidP="0090778D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Середньогалузева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рентабельність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матеріальних</w:t>
            </w:r>
            <w:proofErr w:type="spellEnd"/>
            <w:r w:rsidRPr="00AA2E30">
              <w:rPr>
                <w:sz w:val="18"/>
                <w:lang w:val="ru-RU"/>
              </w:rPr>
              <w:t xml:space="preserve"> </w:t>
            </w:r>
            <w:proofErr w:type="spellStart"/>
            <w:r w:rsidRPr="00AA2E30">
              <w:rPr>
                <w:sz w:val="18"/>
                <w:lang w:val="ru-RU"/>
              </w:rPr>
              <w:t>активів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6"/>
                <w:vertAlign w:val="subscript"/>
              </w:rPr>
              <w:t>MA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0BA5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11%</w:t>
            </w:r>
          </w:p>
        </w:tc>
      </w:tr>
      <w:tr w:rsidR="00AA2E30" w14:paraId="4979844B" w14:textId="77777777" w:rsidTr="0090778D">
        <w:trPr>
          <w:trHeight w:val="2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D71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A8D" w14:textId="77777777" w:rsidR="00AA2E30" w:rsidRPr="00AA2E30" w:rsidRDefault="00AA2E30" w:rsidP="0090778D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proofErr w:type="spellStart"/>
            <w:r w:rsidRPr="00AA2E30">
              <w:rPr>
                <w:sz w:val="18"/>
                <w:lang w:val="ru-RU"/>
              </w:rPr>
              <w:t>Середня</w:t>
            </w:r>
            <w:proofErr w:type="spellEnd"/>
            <w:r w:rsidRPr="00AA2E30">
              <w:rPr>
                <w:sz w:val="18"/>
                <w:lang w:val="ru-RU"/>
              </w:rPr>
              <w:t xml:space="preserve"> ставка </w:t>
            </w:r>
            <w:proofErr w:type="spellStart"/>
            <w:r w:rsidRPr="00AA2E30">
              <w:rPr>
                <w:sz w:val="18"/>
                <w:lang w:val="ru-RU"/>
              </w:rPr>
              <w:t>податку</w:t>
            </w:r>
            <w:proofErr w:type="spellEnd"/>
            <w:r w:rsidRPr="00AA2E30">
              <w:rPr>
                <w:sz w:val="18"/>
                <w:lang w:val="ru-RU"/>
              </w:rPr>
              <w:t xml:space="preserve"> за 3 роки, </w:t>
            </w:r>
            <w:r>
              <w:rPr>
                <w:i/>
                <w:sz w:val="18"/>
              </w:rPr>
              <w:t>T</w:t>
            </w:r>
            <w:r w:rsidRPr="00AA2E30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CD65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25%</w:t>
            </w:r>
          </w:p>
        </w:tc>
      </w:tr>
      <w:tr w:rsidR="00AA2E30" w14:paraId="498CB66C" w14:textId="77777777" w:rsidTr="0090778D">
        <w:trPr>
          <w:trHeight w:val="22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A9A" w14:textId="77777777" w:rsidR="00AA2E30" w:rsidRDefault="00AA2E30" w:rsidP="0090778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B91D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Ставка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дисконтування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F33" w14:textId="77777777" w:rsidR="00AA2E30" w:rsidRDefault="00AA2E30" w:rsidP="0090778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21%</w:t>
            </w:r>
          </w:p>
        </w:tc>
      </w:tr>
    </w:tbl>
    <w:p w14:paraId="1172B9D3" w14:textId="77777777" w:rsidR="00AA2E30" w:rsidRDefault="00AA2E30"/>
    <w:sectPr w:rsidR="00AA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0"/>
    <w:rsid w:val="007B062B"/>
    <w:rsid w:val="00A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7057"/>
  <w15:chartTrackingRefBased/>
  <w15:docId w15:val="{5AF65695-0E70-F44A-A4D9-7C7A6BF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30"/>
    <w:pPr>
      <w:spacing w:after="5" w:line="248" w:lineRule="auto"/>
      <w:ind w:left="397" w:firstLine="387"/>
      <w:jc w:val="both"/>
    </w:pPr>
    <w:rPr>
      <w:rFonts w:ascii="Arial" w:eastAsia="Arial" w:hAnsi="Arial" w:cs="Arial"/>
      <w:color w:val="000000"/>
      <w:sz w:val="20"/>
      <w:szCs w:val="22"/>
      <w:lang w:val="en-US" w:bidi="en-US"/>
    </w:rPr>
  </w:style>
  <w:style w:type="paragraph" w:styleId="3">
    <w:name w:val="heading 3"/>
    <w:next w:val="a"/>
    <w:link w:val="30"/>
    <w:uiPriority w:val="9"/>
    <w:unhideWhenUsed/>
    <w:qFormat/>
    <w:rsid w:val="00AA2E30"/>
    <w:pPr>
      <w:keepNext/>
      <w:keepLines/>
      <w:spacing w:after="4" w:line="249" w:lineRule="auto"/>
      <w:ind w:right="56" w:firstLine="7"/>
      <w:jc w:val="both"/>
      <w:outlineLvl w:val="2"/>
    </w:pPr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paragraph" w:styleId="4">
    <w:name w:val="heading 4"/>
    <w:next w:val="a"/>
    <w:link w:val="40"/>
    <w:uiPriority w:val="9"/>
    <w:unhideWhenUsed/>
    <w:qFormat/>
    <w:rsid w:val="00AA2E30"/>
    <w:pPr>
      <w:keepNext/>
      <w:keepLines/>
      <w:spacing w:after="4" w:line="250" w:lineRule="auto"/>
      <w:ind w:left="407" w:hanging="10"/>
      <w:outlineLvl w:val="3"/>
    </w:pPr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E30"/>
    <w:rPr>
      <w:rFonts w:ascii="Arial" w:eastAsia="Arial" w:hAnsi="Arial" w:cs="Arial"/>
      <w:b/>
      <w:color w:val="000000"/>
      <w:sz w:val="20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A2E30"/>
    <w:rPr>
      <w:rFonts w:ascii="Arial" w:eastAsia="Arial" w:hAnsi="Arial" w:cs="Arial"/>
      <w:b/>
      <w:i/>
      <w:color w:val="000000"/>
      <w:sz w:val="20"/>
      <w:szCs w:val="22"/>
      <w:lang w:val="ru-RU" w:eastAsia="ru-RU"/>
    </w:rPr>
  </w:style>
  <w:style w:type="table" w:customStyle="1" w:styleId="TableGrid">
    <w:name w:val="TableGrid"/>
    <w:rsid w:val="00AA2E30"/>
    <w:rPr>
      <w:rFonts w:eastAsiaTheme="minorEastAsia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Anders</dc:creator>
  <cp:keywords/>
  <dc:description/>
  <cp:lastModifiedBy>OLYA Anders</cp:lastModifiedBy>
  <cp:revision>1</cp:revision>
  <dcterms:created xsi:type="dcterms:W3CDTF">2022-05-16T14:53:00Z</dcterms:created>
  <dcterms:modified xsi:type="dcterms:W3CDTF">2022-05-16T15:02:00Z</dcterms:modified>
</cp:coreProperties>
</file>