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789C" w14:textId="02F1429C" w:rsidR="002A4D47" w:rsidRPr="002A4D47" w:rsidRDefault="002A4D47" w:rsidP="00836D17">
      <w:pPr>
        <w:spacing w:before="100" w:beforeAutospacing="1" w:after="100" w:afterAutospacing="1"/>
        <w:jc w:val="center"/>
        <w:outlineLvl w:val="2"/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</w:pPr>
      <w:r w:rsidRPr="002A4D47">
        <w:rPr>
          <w:rFonts w:ascii="PT Serif" w:eastAsia="Times New Roman" w:hAnsi="PT Serif" w:cs="Times New Roman"/>
          <w:b/>
          <w:bCs/>
          <w:color w:val="800000"/>
          <w:sz w:val="27"/>
          <w:szCs w:val="27"/>
          <w:lang w:eastAsia="ru-RU"/>
        </w:rPr>
        <w:t>Méthodes et techniques</w:t>
      </w:r>
      <w:r w:rsidR="00836D17">
        <w:rPr>
          <w:rFonts w:ascii="PT Serif" w:eastAsia="Times New Roman" w:hAnsi="PT Serif" w:cs="Times New Roman"/>
          <w:b/>
          <w:bCs/>
          <w:color w:val="800000"/>
          <w:sz w:val="27"/>
          <w:szCs w:val="27"/>
          <w:lang w:eastAsia="ru-RU"/>
        </w:rPr>
        <w:t> </w:t>
      </w:r>
      <w:r w:rsidR="00836D1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val="fr-CA" w:eastAsia="ru-RU"/>
        </w:rPr>
        <w:t xml:space="preserve">: </w:t>
      </w:r>
      <w:r w:rsidRPr="002A4D47">
        <w:rPr>
          <w:rFonts w:ascii="PT Serif" w:eastAsia="Times New Roman" w:hAnsi="PT Serif" w:cs="Times New Roman"/>
          <w:b/>
          <w:bCs/>
          <w:color w:val="800000"/>
          <w:sz w:val="27"/>
          <w:szCs w:val="27"/>
          <w:lang w:eastAsia="ru-RU"/>
        </w:rPr>
        <w:t xml:space="preserve">L’argumentation </w:t>
      </w:r>
    </w:p>
    <w:p w14:paraId="282EC853" w14:textId="77777777" w:rsidR="002A4D47" w:rsidRPr="00836D17" w:rsidRDefault="002A4D47" w:rsidP="002A4D47">
      <w:pPr>
        <w:spacing w:before="100" w:beforeAutospacing="1" w:after="100" w:afterAutospacing="1"/>
        <w:jc w:val="center"/>
        <w:outlineLvl w:val="1"/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</w:pPr>
      <w:r w:rsidRPr="00836D17">
        <w:rPr>
          <w:rFonts w:ascii="PT Serif" w:eastAsia="Times New Roman" w:hAnsi="PT Serif" w:cs="Times New Roman"/>
          <w:b/>
          <w:bCs/>
          <w:color w:val="FF6600"/>
          <w:sz w:val="28"/>
          <w:szCs w:val="28"/>
          <w:lang w:eastAsia="ru-RU"/>
        </w:rPr>
        <w:t>Les stratégies du discours argumentatif</w:t>
      </w:r>
    </w:p>
    <w:p w14:paraId="25C7CEDA" w14:textId="77777777" w:rsidR="002A4D47" w:rsidRPr="002A4D47" w:rsidRDefault="002A4D47" w:rsidP="002A4D47">
      <w:pPr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</w:pPr>
      <w:r w:rsidRPr="002A4D47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Sommaire</w:t>
      </w:r>
    </w:p>
    <w:p w14:paraId="7D574B98" w14:textId="77777777" w:rsidR="002A4D47" w:rsidRPr="00564591" w:rsidRDefault="00000000" w:rsidP="002A4D47">
      <w:pPr>
        <w:numPr>
          <w:ilvl w:val="0"/>
          <w:numId w:val="1"/>
        </w:numPr>
        <w:spacing w:before="100" w:beforeAutospacing="1" w:after="100" w:afterAutospacing="1"/>
        <w:rPr>
          <w:rFonts w:ascii="PT Serif" w:eastAsia="Times New Roman" w:hAnsi="PT Serif" w:cs="Times New Roman"/>
          <w:lang w:eastAsia="ru-RU"/>
        </w:rPr>
      </w:pPr>
      <w:hyperlink r:id="rId5" w:anchor="La-rfutation" w:history="1">
        <w:r w:rsidR="002A4D47" w:rsidRPr="00564591">
          <w:rPr>
            <w:rFonts w:ascii="PT Serif" w:eastAsia="Times New Roman" w:hAnsi="PT Serif" w:cs="Times New Roman"/>
            <w:lang w:eastAsia="ru-RU"/>
          </w:rPr>
          <w:t>La réfutation</w:t>
        </w:r>
      </w:hyperlink>
    </w:p>
    <w:p w14:paraId="18FC1496" w14:textId="77777777" w:rsidR="002A4D47" w:rsidRPr="00564591" w:rsidRDefault="00000000" w:rsidP="002A4D47">
      <w:pPr>
        <w:numPr>
          <w:ilvl w:val="0"/>
          <w:numId w:val="1"/>
        </w:numPr>
        <w:spacing w:before="100" w:beforeAutospacing="1" w:after="100" w:afterAutospacing="1"/>
        <w:rPr>
          <w:rFonts w:ascii="PT Serif" w:eastAsia="Times New Roman" w:hAnsi="PT Serif" w:cs="Times New Roman"/>
          <w:lang w:eastAsia="ru-RU"/>
        </w:rPr>
      </w:pPr>
      <w:hyperlink r:id="rId6" w:anchor="La-concession" w:history="1">
        <w:r w:rsidR="002A4D47" w:rsidRPr="00564591">
          <w:rPr>
            <w:rFonts w:ascii="PT Serif" w:eastAsia="Times New Roman" w:hAnsi="PT Serif" w:cs="Times New Roman"/>
            <w:lang w:eastAsia="ru-RU"/>
          </w:rPr>
          <w:t>La concession</w:t>
        </w:r>
      </w:hyperlink>
    </w:p>
    <w:p w14:paraId="19AE7677" w14:textId="77777777" w:rsidR="002A4D47" w:rsidRPr="00564591" w:rsidRDefault="00000000" w:rsidP="002A4D47">
      <w:pPr>
        <w:numPr>
          <w:ilvl w:val="0"/>
          <w:numId w:val="1"/>
        </w:numPr>
        <w:spacing w:before="100" w:beforeAutospacing="1" w:after="100" w:afterAutospacing="1"/>
        <w:rPr>
          <w:rFonts w:ascii="PT Serif" w:eastAsia="Times New Roman" w:hAnsi="PT Serif" w:cs="Times New Roman"/>
          <w:lang w:eastAsia="ru-RU"/>
        </w:rPr>
      </w:pPr>
      <w:hyperlink r:id="rId7" w:anchor="La-confrontation" w:history="1">
        <w:r w:rsidR="002A4D47" w:rsidRPr="00564591">
          <w:rPr>
            <w:rFonts w:ascii="PT Serif" w:eastAsia="Times New Roman" w:hAnsi="PT Serif" w:cs="Times New Roman"/>
            <w:lang w:eastAsia="ru-RU"/>
          </w:rPr>
          <w:t>La confrontation</w:t>
        </w:r>
      </w:hyperlink>
    </w:p>
    <w:p w14:paraId="55038101" w14:textId="77777777" w:rsidR="002A4D47" w:rsidRPr="00564591" w:rsidRDefault="00000000" w:rsidP="002A4D47">
      <w:pPr>
        <w:numPr>
          <w:ilvl w:val="0"/>
          <w:numId w:val="1"/>
        </w:numPr>
        <w:spacing w:before="100" w:beforeAutospacing="1" w:after="100" w:afterAutospacing="1"/>
        <w:rPr>
          <w:rFonts w:ascii="PT Serif" w:eastAsia="Times New Roman" w:hAnsi="PT Serif" w:cs="Times New Roman"/>
          <w:lang w:eastAsia="ru-RU"/>
        </w:rPr>
      </w:pPr>
      <w:hyperlink r:id="rId8" w:anchor="Ladhsion" w:history="1">
        <w:r w:rsidR="002A4D47" w:rsidRPr="00564591">
          <w:rPr>
            <w:rFonts w:ascii="PT Serif" w:eastAsia="Times New Roman" w:hAnsi="PT Serif" w:cs="Times New Roman"/>
            <w:lang w:eastAsia="ru-RU"/>
          </w:rPr>
          <w:t>L’adhésion</w:t>
        </w:r>
      </w:hyperlink>
    </w:p>
    <w:p w14:paraId="7D6E7DF1" w14:textId="7E2FF0DD" w:rsidR="00836D17" w:rsidRPr="00564591" w:rsidRDefault="00000000" w:rsidP="002A4D47">
      <w:pPr>
        <w:numPr>
          <w:ilvl w:val="0"/>
          <w:numId w:val="1"/>
        </w:numPr>
        <w:spacing w:before="100" w:beforeAutospacing="1" w:after="100" w:afterAutospacing="1"/>
        <w:rPr>
          <w:rFonts w:ascii="PT Serif" w:eastAsia="Times New Roman" w:hAnsi="PT Serif" w:cs="Times New Roman"/>
          <w:lang w:eastAsia="ru-RU"/>
        </w:rPr>
      </w:pPr>
      <w:hyperlink r:id="rId9" w:anchor="Lexamen-critique" w:history="1">
        <w:r w:rsidR="002A4D47" w:rsidRPr="00564591">
          <w:rPr>
            <w:rFonts w:ascii="PT Serif" w:eastAsia="Times New Roman" w:hAnsi="PT Serif" w:cs="Times New Roman"/>
            <w:lang w:eastAsia="ru-RU"/>
          </w:rPr>
          <w:t>L’examen critique</w:t>
        </w:r>
      </w:hyperlink>
    </w:p>
    <w:p w14:paraId="1038431A" w14:textId="20E0B59D" w:rsidR="00564591" w:rsidRPr="00564591" w:rsidRDefault="00564591" w:rsidP="00564591">
      <w:pPr>
        <w:spacing w:before="100" w:beforeAutospacing="1" w:after="100" w:afterAutospacing="1"/>
        <w:ind w:left="720"/>
        <w:rPr>
          <w:rFonts w:ascii="PT Serif" w:eastAsia="Times New Roman" w:hAnsi="PT Serif" w:cs="Times New Roman"/>
          <w:lang w:val="fr-CA" w:eastAsia="ru-RU"/>
        </w:rPr>
      </w:pPr>
      <w:r w:rsidRPr="00564591">
        <w:rPr>
          <w:rFonts w:ascii="PT Serif" w:eastAsia="Times New Roman" w:hAnsi="PT Serif" w:cs="Times New Roman"/>
          <w:lang w:val="fr-CA" w:eastAsia="ru-RU"/>
        </w:rPr>
        <w:t>L’objectif du discours argumentatif</w:t>
      </w:r>
      <w:r>
        <w:rPr>
          <w:rFonts w:ascii="PT Serif" w:eastAsia="Times New Roman" w:hAnsi="PT Serif" w:cs="Times New Roman"/>
          <w:lang w:val="fr-CA" w:eastAsia="ru-RU"/>
        </w:rPr>
        <w:t xml:space="preserve"> est de défendre ou de combattre un point de vue. Le choix d’une stratégie d’argumentation se </w:t>
      </w:r>
      <w:r>
        <w:rPr>
          <w:rFonts w:ascii="PT Serif" w:eastAsia="Times New Roman" w:hAnsi="PT Serif" w:cs="Times New Roman"/>
          <w:lang w:val="fr-CA" w:eastAsia="ru-RU"/>
        </w:rPr>
        <w:t>détermine</w:t>
      </w:r>
      <w:r>
        <w:rPr>
          <w:rFonts w:ascii="PT Serif" w:eastAsia="Times New Roman" w:hAnsi="PT Serif" w:cs="Times New Roman"/>
          <w:lang w:val="fr-CA" w:eastAsia="ru-RU"/>
        </w:rPr>
        <w:t xml:space="preserve"> en fonction de l’enjeu, du thème et de la situation d’argumenttion.</w:t>
      </w:r>
    </w:p>
    <w:p w14:paraId="504C9C4F" w14:textId="77777777" w:rsidR="002A4D47" w:rsidRPr="00564591" w:rsidRDefault="002A4D47" w:rsidP="002A4D47">
      <w:pPr>
        <w:spacing w:before="100" w:beforeAutospacing="1" w:after="100" w:afterAutospacing="1"/>
        <w:outlineLvl w:val="4"/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</w:pPr>
      <w:r w:rsidRPr="00564591">
        <w:rPr>
          <w:rFonts w:ascii="PT Serif" w:eastAsia="Times New Roman" w:hAnsi="PT Serif" w:cs="Times New Roman"/>
          <w:b/>
          <w:bCs/>
          <w:color w:val="FF9900"/>
          <w:sz w:val="28"/>
          <w:szCs w:val="28"/>
          <w:lang w:eastAsia="ru-RU"/>
        </w:rPr>
        <w:t>La réfutation</w:t>
      </w:r>
    </w:p>
    <w:p w14:paraId="26155CFD" w14:textId="77777777" w:rsidR="002A4D47" w:rsidRPr="002A4D47" w:rsidRDefault="002A4D47" w:rsidP="002A4D47">
      <w:pPr>
        <w:spacing w:before="100" w:beforeAutospacing="1" w:after="100" w:afterAutospacing="1"/>
        <w:rPr>
          <w:rFonts w:ascii="PT Serif" w:eastAsia="Times New Roman" w:hAnsi="PT Serif" w:cs="Times New Roman"/>
          <w:color w:val="363636"/>
          <w:lang w:eastAsia="ru-RU"/>
        </w:rPr>
      </w:pPr>
      <w:r w:rsidRPr="002A4D47">
        <w:rPr>
          <w:rFonts w:ascii="PT Serif" w:eastAsia="Times New Roman" w:hAnsi="PT Serif" w:cs="Times New Roman"/>
          <w:b/>
          <w:bCs/>
          <w:color w:val="363636"/>
          <w:lang w:eastAsia="ru-RU"/>
        </w:rPr>
        <w:t>La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 </w:t>
      </w:r>
      <w:r w:rsidRPr="002A4D47">
        <w:rPr>
          <w:rFonts w:ascii="PT Serif" w:eastAsia="Times New Roman" w:hAnsi="PT Serif" w:cs="Times New Roman"/>
          <w:b/>
          <w:bCs/>
          <w:color w:val="363636"/>
          <w:lang w:eastAsia="ru-RU"/>
        </w:rPr>
        <w:t>réfutation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 consiste à examiner chacun des arguments avancés par une thèse pour en contester le bien-fondé. Au terme de cette réfutation, l’auteur propose une thèse nouvelle qui formule son propre point de vue sur la question.</w:t>
      </w:r>
    </w:p>
    <w:p w14:paraId="1C9D2B08" w14:textId="77777777" w:rsidR="002A4D47" w:rsidRPr="00564591" w:rsidRDefault="002A4D47" w:rsidP="002A4D47">
      <w:pPr>
        <w:spacing w:before="100" w:beforeAutospacing="1" w:after="100" w:afterAutospacing="1"/>
        <w:outlineLvl w:val="4"/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</w:pPr>
      <w:r w:rsidRPr="00564591">
        <w:rPr>
          <w:rFonts w:ascii="PT Serif" w:eastAsia="Times New Roman" w:hAnsi="PT Serif" w:cs="Times New Roman"/>
          <w:b/>
          <w:bCs/>
          <w:color w:val="FF9900"/>
          <w:sz w:val="28"/>
          <w:szCs w:val="28"/>
          <w:lang w:eastAsia="ru-RU"/>
        </w:rPr>
        <w:t>La concession</w:t>
      </w:r>
    </w:p>
    <w:p w14:paraId="54889292" w14:textId="77777777" w:rsidR="002A4D47" w:rsidRPr="002A4D47" w:rsidRDefault="002A4D47" w:rsidP="002A4D47">
      <w:pPr>
        <w:spacing w:before="100" w:beforeAutospacing="1" w:after="100" w:afterAutospacing="1"/>
        <w:rPr>
          <w:rFonts w:ascii="PT Serif" w:eastAsia="Times New Roman" w:hAnsi="PT Serif" w:cs="Times New Roman"/>
          <w:color w:val="363636"/>
          <w:lang w:eastAsia="ru-RU"/>
        </w:rPr>
      </w:pPr>
      <w:r w:rsidRPr="002A4D47">
        <w:rPr>
          <w:rFonts w:ascii="PT Serif" w:eastAsia="Times New Roman" w:hAnsi="PT Serif" w:cs="Times New Roman"/>
          <w:color w:val="363636"/>
          <w:lang w:eastAsia="ru-RU"/>
        </w:rPr>
        <w:t>Faire </w:t>
      </w:r>
      <w:r w:rsidRPr="002A4D47">
        <w:rPr>
          <w:rFonts w:ascii="PT Serif" w:eastAsia="Times New Roman" w:hAnsi="PT Serif" w:cs="Times New Roman"/>
          <w:b/>
          <w:bCs/>
          <w:color w:val="363636"/>
          <w:lang w:eastAsia="ru-RU"/>
        </w:rPr>
        <w:t>une concession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, c’est accepter un aspect d’une thèse adverse, soit pour montrer qu’on y adhère partiellement, soit pour anticiper une éventuelle objection. La concession se signale par des mots ou expressions tels que « </w:t>
      </w:r>
      <w:r w:rsidRPr="002A4D47">
        <w:rPr>
          <w:rFonts w:ascii="PT Serif" w:eastAsia="Times New Roman" w:hAnsi="PT Serif" w:cs="Times New Roman"/>
          <w:i/>
          <w:iCs/>
          <w:color w:val="363636"/>
          <w:lang w:eastAsia="ru-RU"/>
        </w:rPr>
        <w:t>certes…. mais… 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», « </w:t>
      </w:r>
      <w:r w:rsidRPr="002A4D47">
        <w:rPr>
          <w:rFonts w:ascii="PT Serif" w:eastAsia="Times New Roman" w:hAnsi="PT Serif" w:cs="Times New Roman"/>
          <w:i/>
          <w:iCs/>
          <w:color w:val="363636"/>
          <w:lang w:eastAsia="ru-RU"/>
        </w:rPr>
        <w:t>vous allez me dire que… mais je vous répondrai que… 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», «</w:t>
      </w:r>
      <w:r w:rsidRPr="002A4D47">
        <w:rPr>
          <w:rFonts w:ascii="PT Serif" w:eastAsia="Times New Roman" w:hAnsi="PT Serif" w:cs="Times New Roman"/>
          <w:i/>
          <w:iCs/>
          <w:color w:val="363636"/>
          <w:lang w:eastAsia="ru-RU"/>
        </w:rPr>
        <w:t> certains pensent que… mais…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 », « </w:t>
      </w:r>
      <w:r w:rsidRPr="002A4D47">
        <w:rPr>
          <w:rFonts w:ascii="PT Serif" w:eastAsia="Times New Roman" w:hAnsi="PT Serif" w:cs="Times New Roman"/>
          <w:i/>
          <w:iCs/>
          <w:color w:val="363636"/>
          <w:lang w:eastAsia="ru-RU"/>
        </w:rPr>
        <w:t>on pourrait m’objecter que… mais…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 ».</w:t>
      </w:r>
    </w:p>
    <w:p w14:paraId="166BBB84" w14:textId="77777777" w:rsidR="002A4D47" w:rsidRPr="00564591" w:rsidRDefault="002A4D47" w:rsidP="002A4D47">
      <w:pPr>
        <w:spacing w:before="100" w:beforeAutospacing="1" w:after="100" w:afterAutospacing="1"/>
        <w:outlineLvl w:val="4"/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</w:pPr>
      <w:r w:rsidRPr="00564591">
        <w:rPr>
          <w:rFonts w:ascii="PT Serif" w:eastAsia="Times New Roman" w:hAnsi="PT Serif" w:cs="Times New Roman"/>
          <w:b/>
          <w:bCs/>
          <w:color w:val="FF9900"/>
          <w:sz w:val="28"/>
          <w:szCs w:val="28"/>
          <w:lang w:eastAsia="ru-RU"/>
        </w:rPr>
        <w:t>La confrontation</w:t>
      </w:r>
    </w:p>
    <w:p w14:paraId="3E056D94" w14:textId="77777777" w:rsidR="002A4D47" w:rsidRPr="002A4D47" w:rsidRDefault="002A4D47" w:rsidP="002A4D47">
      <w:pPr>
        <w:spacing w:before="100" w:beforeAutospacing="1" w:after="100" w:afterAutospacing="1"/>
        <w:rPr>
          <w:rFonts w:ascii="PT Serif" w:eastAsia="Times New Roman" w:hAnsi="PT Serif" w:cs="Times New Roman"/>
          <w:color w:val="363636"/>
          <w:lang w:eastAsia="ru-RU"/>
        </w:rPr>
      </w:pPr>
      <w:r w:rsidRPr="002A4D47">
        <w:rPr>
          <w:rFonts w:ascii="PT Serif" w:eastAsia="Times New Roman" w:hAnsi="PT Serif" w:cs="Times New Roman"/>
          <w:b/>
          <w:bCs/>
          <w:color w:val="363636"/>
          <w:lang w:eastAsia="ru-RU"/>
        </w:rPr>
        <w:t>La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 </w:t>
      </w:r>
      <w:r w:rsidRPr="002A4D47">
        <w:rPr>
          <w:rFonts w:ascii="PT Serif" w:eastAsia="Times New Roman" w:hAnsi="PT Serif" w:cs="Times New Roman"/>
          <w:b/>
          <w:bCs/>
          <w:color w:val="363636"/>
          <w:lang w:eastAsia="ru-RU"/>
        </w:rPr>
        <w:t>confrontation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 compare chacun des deux argumentations, montre les points de divergence et de convergence. Elle aboutit à l’expression d’un point de vue personnel sur la question. Deux thèses différentes ne signifient pas obligatoirement deux points de vue diamétralement opposés sur un même sujet.</w:t>
      </w:r>
    </w:p>
    <w:p w14:paraId="71498A33" w14:textId="77777777" w:rsidR="002A4D47" w:rsidRPr="00564591" w:rsidRDefault="002A4D47" w:rsidP="002A4D47">
      <w:pPr>
        <w:spacing w:before="100" w:beforeAutospacing="1" w:after="100" w:afterAutospacing="1"/>
        <w:outlineLvl w:val="4"/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</w:pPr>
      <w:r w:rsidRPr="00564591">
        <w:rPr>
          <w:rFonts w:ascii="PT Serif" w:eastAsia="Times New Roman" w:hAnsi="PT Serif" w:cs="Times New Roman"/>
          <w:b/>
          <w:bCs/>
          <w:color w:val="FF9900"/>
          <w:sz w:val="28"/>
          <w:szCs w:val="28"/>
          <w:lang w:eastAsia="ru-RU"/>
        </w:rPr>
        <w:t>L’adhésion</w:t>
      </w:r>
    </w:p>
    <w:p w14:paraId="2D47B2A6" w14:textId="77777777" w:rsidR="002A4D47" w:rsidRPr="002A4D47" w:rsidRDefault="002A4D47" w:rsidP="002A4D47">
      <w:pPr>
        <w:spacing w:before="100" w:beforeAutospacing="1" w:after="100" w:afterAutospacing="1"/>
        <w:rPr>
          <w:rFonts w:ascii="PT Serif" w:eastAsia="Times New Roman" w:hAnsi="PT Serif" w:cs="Times New Roman"/>
          <w:color w:val="363636"/>
          <w:lang w:eastAsia="ru-RU"/>
        </w:rPr>
      </w:pPr>
      <w:r w:rsidRPr="002A4D47">
        <w:rPr>
          <w:rFonts w:ascii="PT Serif" w:eastAsia="Times New Roman" w:hAnsi="PT Serif" w:cs="Times New Roman"/>
          <w:b/>
          <w:bCs/>
          <w:color w:val="363636"/>
          <w:lang w:eastAsia="ru-RU"/>
        </w:rPr>
        <w:t>L’adhésion 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épouse totalement la thèse développée par un auteur. Marquer son adhésion à une thèse revient à en démontrer le bien-fondé par des arguments.</w:t>
      </w:r>
    </w:p>
    <w:p w14:paraId="514212EF" w14:textId="77777777" w:rsidR="00E41869" w:rsidRDefault="00E41869" w:rsidP="00564591">
      <w:pPr>
        <w:spacing w:before="100" w:beforeAutospacing="1" w:after="100" w:afterAutospacing="1"/>
        <w:outlineLvl w:val="4"/>
        <w:rPr>
          <w:rFonts w:ascii="PT Serif" w:eastAsia="Times New Roman" w:hAnsi="PT Serif" w:cs="Times New Roman"/>
          <w:b/>
          <w:bCs/>
          <w:color w:val="FF9900"/>
          <w:sz w:val="20"/>
          <w:szCs w:val="20"/>
          <w:lang w:eastAsia="ru-RU"/>
        </w:rPr>
      </w:pPr>
    </w:p>
    <w:p w14:paraId="295F5CF3" w14:textId="4A7DA57A" w:rsidR="00E41869" w:rsidRDefault="002A4D47" w:rsidP="00564591">
      <w:pPr>
        <w:spacing w:before="100" w:beforeAutospacing="1" w:after="100" w:afterAutospacing="1"/>
        <w:outlineLvl w:val="4"/>
        <w:rPr>
          <w:rFonts w:ascii="PT Serif" w:eastAsia="Times New Roman" w:hAnsi="PT Serif" w:cs="Times New Roman"/>
          <w:b/>
          <w:bCs/>
          <w:color w:val="FF9900"/>
          <w:sz w:val="20"/>
          <w:szCs w:val="20"/>
          <w:lang w:val="fr-CA" w:eastAsia="ru-RU"/>
        </w:rPr>
      </w:pPr>
      <w:r w:rsidRPr="002A4D47">
        <w:rPr>
          <w:rFonts w:ascii="PT Serif" w:eastAsia="Times New Roman" w:hAnsi="PT Serif" w:cs="Times New Roman"/>
          <w:b/>
          <w:bCs/>
          <w:color w:val="FF9900"/>
          <w:sz w:val="20"/>
          <w:szCs w:val="20"/>
          <w:lang w:eastAsia="ru-RU"/>
        </w:rPr>
        <w:lastRenderedPageBreak/>
        <w:t>L’examen critique</w:t>
      </w:r>
      <w:r w:rsidR="00564591">
        <w:rPr>
          <w:rFonts w:ascii="PT Serif" w:eastAsia="Times New Roman" w:hAnsi="PT Serif" w:cs="Times New Roman"/>
          <w:b/>
          <w:bCs/>
          <w:color w:val="FF9900"/>
          <w:sz w:val="20"/>
          <w:szCs w:val="20"/>
          <w:lang w:val="fr-CA" w:eastAsia="ru-RU"/>
        </w:rPr>
        <w:t xml:space="preserve"> </w:t>
      </w:r>
    </w:p>
    <w:p w14:paraId="5BB8A9DF" w14:textId="375A96FE" w:rsidR="002A4D47" w:rsidRPr="00564591" w:rsidRDefault="002A4D47" w:rsidP="00564591">
      <w:pPr>
        <w:spacing w:before="100" w:beforeAutospacing="1" w:after="100" w:afterAutospacing="1"/>
        <w:outlineLvl w:val="4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  <w:r w:rsidRPr="002A4D47">
        <w:rPr>
          <w:rFonts w:ascii="PT Serif" w:eastAsia="Times New Roman" w:hAnsi="PT Serif" w:cs="Times New Roman"/>
          <w:b/>
          <w:bCs/>
          <w:color w:val="363636"/>
          <w:lang w:eastAsia="ru-RU"/>
        </w:rPr>
        <w:t>L’examen critique</w:t>
      </w:r>
      <w:r w:rsidRPr="002A4D47">
        <w:rPr>
          <w:rFonts w:ascii="PT Serif" w:eastAsia="Times New Roman" w:hAnsi="PT Serif" w:cs="Times New Roman"/>
          <w:color w:val="363636"/>
          <w:lang w:eastAsia="ru-RU"/>
        </w:rPr>
        <w:t> passe en revue les différents arguments qui étayent une thèse en montrant ses points forts et ses points faibles et en tirant un bilan de cette évaluation.</w:t>
      </w:r>
    </w:p>
    <w:p w14:paraId="5659A8CD" w14:textId="77777777" w:rsidR="002A4D47" w:rsidRPr="002A4D47" w:rsidRDefault="002A4D47" w:rsidP="002A4D47">
      <w:pPr>
        <w:rPr>
          <w:rFonts w:ascii="Times New Roman" w:eastAsia="Times New Roman" w:hAnsi="Times New Roman" w:cs="Times New Roman"/>
          <w:lang w:eastAsia="ru-RU"/>
        </w:rPr>
      </w:pPr>
    </w:p>
    <w:p w14:paraId="48ADA3AD" w14:textId="77777777" w:rsidR="002A4D47" w:rsidRDefault="002A4D47"/>
    <w:sectPr w:rsidR="002A4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408C"/>
    <w:multiLevelType w:val="multilevel"/>
    <w:tmpl w:val="EE7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06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7"/>
    <w:rsid w:val="002A4D47"/>
    <w:rsid w:val="00564591"/>
    <w:rsid w:val="00836D17"/>
    <w:rsid w:val="00E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ED70"/>
  <w15:chartTrackingRefBased/>
  <w15:docId w15:val="{2D882B71-23A0-9040-B3E0-4F5BEC0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D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4D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A4D4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4D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A4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A4D47"/>
    <w:rPr>
      <w:color w:val="0000FF"/>
      <w:u w:val="single"/>
    </w:rPr>
  </w:style>
  <w:style w:type="character" w:styleId="a5">
    <w:name w:val="Strong"/>
    <w:basedOn w:val="a0"/>
    <w:uiPriority w:val="22"/>
    <w:qFormat/>
    <w:rsid w:val="002A4D47"/>
    <w:rPr>
      <w:b/>
      <w:bCs/>
    </w:rPr>
  </w:style>
  <w:style w:type="character" w:styleId="a6">
    <w:name w:val="Emphasis"/>
    <w:basedOn w:val="a0"/>
    <w:uiPriority w:val="20"/>
    <w:qFormat/>
    <w:rsid w:val="002A4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11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acefrancais.com/les-strategies-du-discours-argumentati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pacefrancais.com/les-strategies-du-discours-argumentati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pacefrancais.com/les-strategies-du-discours-argumentati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pacefrancais.com/les-strategies-du-discours-argumentati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pacefrancais.com/les-strategies-du-discours-argumentati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Галина Федоровна</cp:lastModifiedBy>
  <cp:revision>2</cp:revision>
  <dcterms:created xsi:type="dcterms:W3CDTF">2020-08-23T15:49:00Z</dcterms:created>
  <dcterms:modified xsi:type="dcterms:W3CDTF">2022-09-01T19:24:00Z</dcterms:modified>
</cp:coreProperties>
</file>