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6D" w:rsidRPr="000F796D" w:rsidRDefault="000F796D" w:rsidP="000F7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F796D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0F796D">
        <w:rPr>
          <w:rFonts w:ascii="Times New Roman" w:hAnsi="Times New Roman" w:cs="Times New Roman"/>
          <w:b/>
          <w:sz w:val="28"/>
          <w:szCs w:val="28"/>
          <w:lang w:eastAsia="uk-UA"/>
        </w:rPr>
        <w:t>МЕТОДИКИ ОЦІНКИ ТА АНАЛІЗУ ІНСТРУМЕНТІ</w:t>
      </w:r>
      <w:proofErr w:type="gramStart"/>
      <w:r w:rsidRPr="000F796D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proofErr w:type="gramEnd"/>
      <w:r w:rsidRPr="000F796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F796D" w:rsidRPr="000F796D" w:rsidRDefault="000F796D" w:rsidP="000F7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6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РИНКУ </w:t>
      </w:r>
      <w:proofErr w:type="gramStart"/>
      <w:r w:rsidRPr="000F796D">
        <w:rPr>
          <w:rFonts w:ascii="Times New Roman" w:hAnsi="Times New Roman" w:cs="Times New Roman"/>
          <w:b/>
          <w:sz w:val="28"/>
          <w:szCs w:val="28"/>
          <w:lang w:eastAsia="uk-UA"/>
        </w:rPr>
        <w:t>Ц</w:t>
      </w:r>
      <w:proofErr w:type="gramEnd"/>
      <w:r w:rsidRPr="000F796D">
        <w:rPr>
          <w:rFonts w:ascii="Times New Roman" w:hAnsi="Times New Roman" w:cs="Times New Roman"/>
          <w:b/>
          <w:sz w:val="28"/>
          <w:szCs w:val="28"/>
          <w:lang w:eastAsia="uk-UA"/>
        </w:rPr>
        <w:t>ІННИХ ПАПЕРІВ</w:t>
      </w:r>
    </w:p>
    <w:p w:rsidR="000F796D" w:rsidRPr="000F796D" w:rsidRDefault="000F796D" w:rsidP="000F79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6D">
        <w:rPr>
          <w:rFonts w:ascii="Times New Roman" w:hAnsi="Times New Roman" w:cs="Times New Roman"/>
          <w:b/>
          <w:sz w:val="28"/>
          <w:szCs w:val="28"/>
        </w:rPr>
        <w:sym w:font="Wingdings" w:char="F03F"/>
      </w:r>
      <w:proofErr w:type="spellStart"/>
      <w:r w:rsidRPr="000F796D">
        <w:rPr>
          <w:rFonts w:ascii="Times New Roman" w:hAnsi="Times New Roman" w:cs="Times New Roman"/>
          <w:b/>
          <w:sz w:val="28"/>
          <w:szCs w:val="28"/>
        </w:rPr>
        <w:t>Практичні</w:t>
      </w:r>
      <w:proofErr w:type="spellEnd"/>
      <w:r w:rsidRPr="000F7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№1.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фундаментального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інвестор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багатшим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правильнішими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2. Стан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виначальним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фактором для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папері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зростаючий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ВВП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показу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продажу,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на фондовому ринку.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заниженою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ринковою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недооцінених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проводиться шляхом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емітента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коригуванням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макроекономічних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5. Як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практика, для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на методах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оперативністю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простотою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простотою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недорогим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програмним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фахову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та опору,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8. Для початкового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та опору –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дотичними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ab/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№2.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розвинутих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ринку з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до ВВП.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Здійсніть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кластеризацію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домінуванням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сектору.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закономірність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до того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кластера.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ВВП у кожному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кластері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2015-2022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посередництва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?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словником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порадами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рекомендованою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кластеризації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6D" w:rsidRPr="000F796D" w:rsidRDefault="000F796D" w:rsidP="000F7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№3.Порівняйте номенклатуру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папері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біржового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ринку й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багатосторонньої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торговельної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торговельних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>.</w:t>
      </w:r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словника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рекомендованої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6D" w:rsidRPr="000F796D" w:rsidRDefault="000F796D" w:rsidP="000F7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№4. На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оприлюдненої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на сайтах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бірж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бірж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івнічної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Південної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Америки.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закономірність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часових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бірж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?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>.</w:t>
      </w:r>
      <w:r w:rsidRPr="000F79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словником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порадами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рекомендованою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№5. Охарактеризуйте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занесіть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табл. 8.1.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>.</w:t>
      </w:r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словника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рекомендованої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8.1 – Характеристики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596" w:type="dxa"/>
        <w:jc w:val="center"/>
        <w:tblInd w:w="108" w:type="dxa"/>
        <w:tblLook w:val="04A0" w:firstRow="1" w:lastRow="0" w:firstColumn="1" w:lastColumn="0" w:noHBand="0" w:noVBand="1"/>
      </w:tblPr>
      <w:tblGrid>
        <w:gridCol w:w="1852"/>
        <w:gridCol w:w="1867"/>
        <w:gridCol w:w="1917"/>
        <w:gridCol w:w="1270"/>
        <w:gridCol w:w="1515"/>
        <w:gridCol w:w="1813"/>
      </w:tblGrid>
      <w:tr w:rsidR="000F796D" w:rsidRPr="000F796D" w:rsidTr="007B2312">
        <w:trPr>
          <w:jc w:val="center"/>
        </w:trPr>
        <w:tc>
          <w:tcPr>
            <w:tcW w:w="173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методі</w:t>
            </w:r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4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1796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Обʼєктивність</w:t>
            </w:r>
            <w:proofErr w:type="spellEnd"/>
          </w:p>
        </w:tc>
        <w:tc>
          <w:tcPr>
            <w:tcW w:w="119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</w:p>
        </w:tc>
        <w:tc>
          <w:tcPr>
            <w:tcW w:w="1422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</w:p>
        </w:tc>
        <w:tc>
          <w:tcPr>
            <w:tcW w:w="169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Складність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</w:p>
        </w:tc>
      </w:tr>
      <w:tr w:rsidR="000F796D" w:rsidRPr="000F796D" w:rsidTr="007B2312">
        <w:trPr>
          <w:jc w:val="center"/>
        </w:trPr>
        <w:tc>
          <w:tcPr>
            <w:tcW w:w="1735" w:type="dxa"/>
            <w:vMerge w:val="restart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Графічні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</w:p>
        </w:tc>
        <w:tc>
          <w:tcPr>
            <w:tcW w:w="174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Візуальний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графі</w:t>
            </w:r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bookmarkStart w:id="0" w:name="_GoBack"/>
            <w:bookmarkEnd w:id="0"/>
            <w:proofErr w:type="spellEnd"/>
          </w:p>
        </w:tc>
        <w:tc>
          <w:tcPr>
            <w:tcW w:w="1796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9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  <w:proofErr w:type="spellEnd"/>
          </w:p>
        </w:tc>
        <w:tc>
          <w:tcPr>
            <w:tcW w:w="1422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9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F796D" w:rsidRPr="000F796D" w:rsidTr="007B2312">
        <w:trPr>
          <w:jc w:val="center"/>
        </w:trPr>
        <w:tc>
          <w:tcPr>
            <w:tcW w:w="1735" w:type="dxa"/>
            <w:vMerge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ліній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ідтримки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й опору</w:t>
            </w:r>
          </w:p>
        </w:tc>
        <w:tc>
          <w:tcPr>
            <w:tcW w:w="1796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9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22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9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F796D" w:rsidRPr="000F796D" w:rsidTr="007B2312">
        <w:trPr>
          <w:jc w:val="center"/>
        </w:trPr>
        <w:tc>
          <w:tcPr>
            <w:tcW w:w="1735" w:type="dxa"/>
            <w:vMerge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Побудова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фігур</w:t>
            </w:r>
            <w:proofErr w:type="spellEnd"/>
          </w:p>
        </w:tc>
        <w:tc>
          <w:tcPr>
            <w:tcW w:w="1796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9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22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9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Низька</w:t>
            </w:r>
            <w:proofErr w:type="spellEnd"/>
          </w:p>
        </w:tc>
      </w:tr>
      <w:tr w:rsidR="000F796D" w:rsidRPr="000F796D" w:rsidTr="007B2312">
        <w:trPr>
          <w:jc w:val="center"/>
        </w:trPr>
        <w:tc>
          <w:tcPr>
            <w:tcW w:w="1735" w:type="dxa"/>
            <w:vMerge w:val="restart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фільтрації</w:t>
            </w:r>
            <w:proofErr w:type="spellEnd"/>
          </w:p>
        </w:tc>
        <w:tc>
          <w:tcPr>
            <w:tcW w:w="174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усереднення</w:t>
            </w:r>
            <w:proofErr w:type="spellEnd"/>
          </w:p>
        </w:tc>
        <w:tc>
          <w:tcPr>
            <w:tcW w:w="1796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9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22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9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F796D" w:rsidRPr="000F796D" w:rsidTr="007B2312">
        <w:trPr>
          <w:jc w:val="center"/>
        </w:trPr>
        <w:tc>
          <w:tcPr>
            <w:tcW w:w="1735" w:type="dxa"/>
            <w:vMerge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згладжування</w:t>
            </w:r>
            <w:proofErr w:type="spellEnd"/>
          </w:p>
        </w:tc>
        <w:tc>
          <w:tcPr>
            <w:tcW w:w="1796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9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22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9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F796D" w:rsidRPr="000F796D" w:rsidTr="007B2312">
        <w:trPr>
          <w:jc w:val="center"/>
        </w:trPr>
        <w:tc>
          <w:tcPr>
            <w:tcW w:w="1735" w:type="dxa"/>
            <w:vMerge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індикаторі</w:t>
            </w:r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ринку</w:t>
            </w:r>
          </w:p>
        </w:tc>
        <w:tc>
          <w:tcPr>
            <w:tcW w:w="1796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9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22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9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F796D" w:rsidRPr="000F796D" w:rsidTr="007B2312">
        <w:trPr>
          <w:jc w:val="center"/>
        </w:trPr>
        <w:tc>
          <w:tcPr>
            <w:tcW w:w="1735" w:type="dxa"/>
            <w:vMerge w:val="restart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екстраполяції</w:t>
            </w:r>
            <w:proofErr w:type="spellEnd"/>
          </w:p>
        </w:tc>
        <w:tc>
          <w:tcPr>
            <w:tcW w:w="174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Регресійні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ідходи</w:t>
            </w:r>
            <w:proofErr w:type="spellEnd"/>
          </w:p>
        </w:tc>
        <w:tc>
          <w:tcPr>
            <w:tcW w:w="1796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Висока</w:t>
            </w:r>
            <w:proofErr w:type="spellEnd"/>
          </w:p>
        </w:tc>
        <w:tc>
          <w:tcPr>
            <w:tcW w:w="119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22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9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F796D" w:rsidRPr="000F796D" w:rsidTr="007B2312">
        <w:trPr>
          <w:jc w:val="center"/>
        </w:trPr>
        <w:tc>
          <w:tcPr>
            <w:tcW w:w="1735" w:type="dxa"/>
            <w:vMerge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GARCH-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</w:p>
        </w:tc>
        <w:tc>
          <w:tcPr>
            <w:tcW w:w="1796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9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22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9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№6.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796D">
        <w:rPr>
          <w:rFonts w:ascii="Times New Roman" w:hAnsi="Times New Roman" w:cs="Times New Roman"/>
          <w:sz w:val="28"/>
          <w:szCs w:val="28"/>
        </w:rPr>
        <w:t>на</w:t>
      </w:r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фондових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біжах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796D">
        <w:rPr>
          <w:rFonts w:ascii="Times New Roman" w:hAnsi="Times New Roman" w:cs="Times New Roman"/>
          <w:sz w:val="28"/>
          <w:szCs w:val="28"/>
        </w:rPr>
        <w:t>за</w:t>
      </w:r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796D">
        <w:rPr>
          <w:rFonts w:ascii="Times New Roman" w:hAnsi="Times New Roman" w:cs="Times New Roman"/>
          <w:sz w:val="28"/>
          <w:szCs w:val="28"/>
        </w:rPr>
        <w:t>такими</w:t>
      </w:r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F79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F796D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розбіжностям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>.</w:t>
      </w:r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словника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рекомендованої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Default="000F796D" w:rsidP="000F7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96D" w:rsidRPr="000F796D" w:rsidRDefault="000F796D" w:rsidP="000F79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6D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0F796D">
        <w:rPr>
          <w:rFonts w:ascii="Times New Roman" w:hAnsi="Times New Roman" w:cs="Times New Roman"/>
          <w:b/>
          <w:color w:val="000000"/>
          <w:sz w:val="28"/>
          <w:szCs w:val="28"/>
        </w:rPr>
        <w:t>ФОНДОВІ ІНДЕКСИ</w:t>
      </w:r>
    </w:p>
    <w:p w:rsidR="000F796D" w:rsidRPr="000F796D" w:rsidRDefault="000F796D" w:rsidP="000F79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6D">
        <w:rPr>
          <w:rFonts w:ascii="Times New Roman" w:hAnsi="Times New Roman" w:cs="Times New Roman"/>
          <w:b/>
          <w:sz w:val="28"/>
          <w:szCs w:val="28"/>
        </w:rPr>
        <w:sym w:font="Wingdings" w:char="F03F"/>
      </w:r>
      <w:proofErr w:type="spellStart"/>
      <w:r w:rsidRPr="000F796D">
        <w:rPr>
          <w:rFonts w:ascii="Times New Roman" w:hAnsi="Times New Roman" w:cs="Times New Roman"/>
          <w:b/>
          <w:sz w:val="28"/>
          <w:szCs w:val="28"/>
        </w:rPr>
        <w:t>Практичні</w:t>
      </w:r>
      <w:proofErr w:type="spellEnd"/>
      <w:r w:rsidRPr="000F7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№1.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бути так,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фондовий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на 5%, 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на 2%?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Пааше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фондовому ринку.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Пааше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капіталізації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поточному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базовому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фондового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розрахованого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за методом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арифметичного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простого,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ринковою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найдешевші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відображаються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капіталізації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6. На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фондового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розрахованого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за методом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геометричного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великий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низькими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темпами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дохідність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інвестиційними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фондами,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інвесторами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портфельними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менеджерами.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економі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Секторні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папері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блакитних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фішок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левову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на фондовому ринку.</w:t>
      </w:r>
    </w:p>
    <w:p w:rsidR="000F796D" w:rsidRPr="000F796D" w:rsidRDefault="000F796D" w:rsidP="000F796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96D" w:rsidRPr="000F796D" w:rsidRDefault="000F796D" w:rsidP="000F796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0F796D">
        <w:rPr>
          <w:rFonts w:ascii="Times New Roman" w:hAnsi="Times New Roman" w:cs="Times New Roman"/>
          <w:sz w:val="28"/>
          <w:szCs w:val="28"/>
          <w:lang w:val="uk-UA"/>
        </w:rPr>
        <w:t>Завдання №2.</w:t>
      </w:r>
      <w:r w:rsidRPr="000F796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Встановіть відповідність між фондовим індексом та набором акцій для нього: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6378"/>
      </w:tblGrid>
      <w:tr w:rsidR="000F796D" w:rsidRPr="000F796D" w:rsidTr="007B2312">
        <w:tc>
          <w:tcPr>
            <w:tcW w:w="2694" w:type="dxa"/>
            <w:gridSpan w:val="2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Фондовий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  <w:proofErr w:type="spellEnd"/>
          </w:p>
        </w:tc>
        <w:tc>
          <w:tcPr>
            <w:tcW w:w="6945" w:type="dxa"/>
            <w:gridSpan w:val="2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Набі</w:t>
            </w:r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акцій</w:t>
            </w:r>
            <w:proofErr w:type="spellEnd"/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S&amp;P/TSX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високої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капіталізації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торгуються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Мексиканській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фондовій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Mex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IPC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блакитні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Гонконгівської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BOVESPA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високої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капіталізації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здійснюють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торгівлю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Сан-Паулу;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Nikkei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високої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капіталізації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здійснюють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торгівлю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Торонто;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Hang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Seng</w:t>
            </w:r>
            <w:proofErr w:type="spellEnd"/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високої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капіталізації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здійснюють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торгівлю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Австрал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ійській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фондовій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S&amp;P/ASX</w:t>
            </w: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найбільші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225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компаній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Токійської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</w:p>
        </w:tc>
      </w:tr>
    </w:tbl>
    <w:p w:rsidR="000F796D" w:rsidRPr="000F796D" w:rsidRDefault="000F796D" w:rsidP="000F796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1.___ 2.___ 3.___ 4.___ 5.___ 6.___ </w:t>
      </w:r>
    </w:p>
    <w:p w:rsidR="000F796D" w:rsidRPr="000F796D" w:rsidRDefault="000F796D" w:rsidP="000F7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96D" w:rsidRPr="000F796D" w:rsidRDefault="000F796D" w:rsidP="000F796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0F796D">
        <w:rPr>
          <w:rFonts w:ascii="Times New Roman" w:hAnsi="Times New Roman" w:cs="Times New Roman"/>
          <w:sz w:val="28"/>
          <w:szCs w:val="28"/>
          <w:lang w:val="uk-UA"/>
        </w:rPr>
        <w:t>Завдання №3.</w:t>
      </w:r>
      <w:r w:rsidRPr="000F796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Встановіть відповідність між фондовим індексом та набором акцій для нього: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6378"/>
      </w:tblGrid>
      <w:tr w:rsidR="000F796D" w:rsidRPr="000F796D" w:rsidTr="007B2312">
        <w:tc>
          <w:tcPr>
            <w:tcW w:w="2694" w:type="dxa"/>
            <w:gridSpan w:val="2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Фондовий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  <w:proofErr w:type="spellEnd"/>
          </w:p>
        </w:tc>
        <w:tc>
          <w:tcPr>
            <w:tcW w:w="6945" w:type="dxa"/>
            <w:gridSpan w:val="2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Набі</w:t>
            </w:r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акцій</w:t>
            </w:r>
            <w:proofErr w:type="spellEnd"/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FTSE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блакитні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Euronext Paris</w:t>
            </w: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 40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блакитні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іденської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DAX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блакитні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Італійської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IBEX 35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блакитні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ММВБ;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FTSE MIB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блакитні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Швейцарської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AEX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блакитні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Euronext</w:t>
            </w: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Amsterdam</w:t>
            </w: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блакитні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Франкфуртської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OMX STKH30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блакитні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Лондонської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блакитні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Мадридської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796D" w:rsidRPr="000F796D" w:rsidTr="007B2312"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RTSI</w:t>
            </w:r>
          </w:p>
        </w:tc>
        <w:tc>
          <w:tcPr>
            <w:tcW w:w="567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378" w:type="dxa"/>
          </w:tcPr>
          <w:p w:rsidR="000F796D" w:rsidRPr="000F796D" w:rsidRDefault="000F796D" w:rsidP="000F796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блакитні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фішки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Стокгольмської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фондової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біржі</w:t>
            </w:r>
            <w:proofErr w:type="spellEnd"/>
          </w:p>
        </w:tc>
      </w:tr>
    </w:tbl>
    <w:p w:rsidR="000F796D" w:rsidRPr="000F796D" w:rsidRDefault="000F796D" w:rsidP="000F796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6D">
        <w:rPr>
          <w:rFonts w:ascii="Times New Roman" w:eastAsia="Times New Roman" w:hAnsi="Times New Roman" w:cs="Times New Roman"/>
          <w:sz w:val="28"/>
          <w:szCs w:val="28"/>
          <w:lang w:val="uk-UA"/>
        </w:rPr>
        <w:t>1.___ 2.___ 3.___ 4.___ 5.___ 6.___ 7.___ 8. ___ 9.___ 10. ___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№4.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корпорацій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А,В та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у базовому і поточному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періодах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89" w:type="dxa"/>
        <w:tblInd w:w="108" w:type="dxa"/>
        <w:tblLook w:val="04A0" w:firstRow="1" w:lastRow="0" w:firstColumn="1" w:lastColumn="0" w:noHBand="0" w:noVBand="1"/>
      </w:tblPr>
      <w:tblGrid>
        <w:gridCol w:w="3119"/>
        <w:gridCol w:w="3285"/>
        <w:gridCol w:w="3285"/>
      </w:tblGrid>
      <w:tr w:rsidR="000F796D" w:rsidRPr="000F796D" w:rsidTr="007B2312">
        <w:tc>
          <w:tcPr>
            <w:tcW w:w="3119" w:type="dxa"/>
            <w:vMerge w:val="restart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Корпорація</w:t>
            </w:r>
            <w:proofErr w:type="spellEnd"/>
          </w:p>
        </w:tc>
        <w:tc>
          <w:tcPr>
            <w:tcW w:w="6570" w:type="dxa"/>
            <w:gridSpan w:val="2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акцій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гр.од</w:t>
            </w:r>
            <w:proofErr w:type="spellEnd"/>
          </w:p>
        </w:tc>
      </w:tr>
      <w:tr w:rsidR="000F796D" w:rsidRPr="000F796D" w:rsidTr="007B2312">
        <w:tc>
          <w:tcPr>
            <w:tcW w:w="3119" w:type="dxa"/>
            <w:vMerge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Базовий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9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 </w:t>
            </w: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0</w:t>
            </w:r>
          </w:p>
        </w:tc>
        <w:tc>
          <w:tcPr>
            <w:tcW w:w="328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9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</w:tr>
      <w:tr w:rsidR="000F796D" w:rsidRPr="000F796D" w:rsidTr="007B2312">
        <w:tc>
          <w:tcPr>
            <w:tcW w:w="311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8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F796D" w:rsidRPr="000F796D" w:rsidTr="007B2312">
        <w:tc>
          <w:tcPr>
            <w:tcW w:w="311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8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F796D" w:rsidRPr="000F796D" w:rsidTr="007B2312">
        <w:tc>
          <w:tcPr>
            <w:tcW w:w="3119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F796D" w:rsidRPr="000F796D" w:rsidRDefault="000F796D" w:rsidP="000F79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Розрахуйте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темпів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геометричного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базовому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100. На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процентів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темп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базовим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?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>.</w:t>
      </w:r>
      <w:r w:rsidRPr="000F79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скористатись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формулами 9.4 та 9.5.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№5. База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складалася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корпорацій</w:t>
      </w:r>
      <w:proofErr w:type="spellEnd"/>
      <w:proofErr w:type="gramStart"/>
      <w:r w:rsidRPr="000F79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, В та С. У поточному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спліт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1:2,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 на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дивідендів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витратила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а до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увійшла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r w:rsidRPr="000F79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7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корпорацій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базовому і поточному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періодах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27" w:type="dxa"/>
        <w:tblInd w:w="108" w:type="dxa"/>
        <w:tblLook w:val="04A0" w:firstRow="1" w:lastRow="0" w:firstColumn="1" w:lastColumn="0" w:noHBand="0" w:noVBand="1"/>
      </w:tblPr>
      <w:tblGrid>
        <w:gridCol w:w="1843"/>
        <w:gridCol w:w="1971"/>
        <w:gridCol w:w="1971"/>
        <w:gridCol w:w="1971"/>
        <w:gridCol w:w="1971"/>
      </w:tblGrid>
      <w:tr w:rsidR="000F796D" w:rsidRPr="000F796D" w:rsidTr="007B2312">
        <w:tc>
          <w:tcPr>
            <w:tcW w:w="1843" w:type="dxa"/>
            <w:vMerge w:val="restart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Корпорації</w:t>
            </w:r>
            <w:proofErr w:type="spellEnd"/>
          </w:p>
        </w:tc>
        <w:tc>
          <w:tcPr>
            <w:tcW w:w="3942" w:type="dxa"/>
            <w:gridSpan w:val="2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3942" w:type="dxa"/>
            <w:gridSpan w:val="2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Поточні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</w:p>
        </w:tc>
      </w:tr>
      <w:tr w:rsidR="000F796D" w:rsidRPr="000F796D" w:rsidTr="007B2312">
        <w:tc>
          <w:tcPr>
            <w:tcW w:w="1843" w:type="dxa"/>
            <w:vMerge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акцій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гр.од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акцій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гр.од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 xml:space="preserve"> од.</w:t>
            </w:r>
          </w:p>
        </w:tc>
      </w:tr>
      <w:tr w:rsidR="000F796D" w:rsidRPr="000F796D" w:rsidTr="007B2312">
        <w:tc>
          <w:tcPr>
            <w:tcW w:w="1843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F796D" w:rsidRPr="000F796D" w:rsidTr="007B2312">
        <w:tc>
          <w:tcPr>
            <w:tcW w:w="1843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F796D" w:rsidRPr="000F796D" w:rsidTr="007B2312">
        <w:tc>
          <w:tcPr>
            <w:tcW w:w="1843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F796D" w:rsidRPr="000F796D" w:rsidTr="007B2312">
        <w:tc>
          <w:tcPr>
            <w:tcW w:w="1843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</w:tcPr>
          <w:p w:rsidR="000F796D" w:rsidRPr="000F796D" w:rsidRDefault="000F796D" w:rsidP="000F79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Розрахуйте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базовому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та поточному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періодах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капіталізації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ринку? 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негативної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розрахуйте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фондовий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>.</w:t>
      </w:r>
      <w:r w:rsidRPr="000F79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базовому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та поточному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періодах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формулу 9.2 та 9.3. 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необхі</w:t>
      </w:r>
      <w:proofErr w:type="gramStart"/>
      <w:r w:rsidRPr="000F796D">
        <w:rPr>
          <w:rFonts w:ascii="Times New Roman" w:hAnsi="Times New Roman" w:cs="Times New Roman"/>
          <w:sz w:val="28"/>
          <w:szCs w:val="28"/>
        </w:rPr>
        <w:t>дно</w:t>
      </w:r>
      <w:proofErr w:type="spellEnd"/>
      <w:proofErr w:type="gram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словником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порадами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рекомендованою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№6.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індексами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фондових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бірж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кореляції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індексами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бірж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r w:rsidRPr="000F796D">
        <w:rPr>
          <w:rFonts w:ascii="Times New Roman" w:hAnsi="Times New Roman" w:cs="Times New Roman"/>
          <w:sz w:val="28"/>
          <w:szCs w:val="28"/>
          <w:lang w:val="en-US"/>
        </w:rPr>
        <w:t>NYSE</w:t>
      </w:r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r w:rsidRPr="000F796D">
        <w:rPr>
          <w:rFonts w:ascii="Times New Roman" w:hAnsi="Times New Roman" w:cs="Times New Roman"/>
          <w:sz w:val="28"/>
          <w:szCs w:val="28"/>
          <w:lang w:val="en-US"/>
        </w:rPr>
        <w:t>Euronext</w:t>
      </w:r>
      <w:r w:rsidRPr="000F796D">
        <w:rPr>
          <w:rFonts w:ascii="Times New Roman" w:hAnsi="Times New Roman" w:cs="Times New Roman"/>
          <w:sz w:val="28"/>
          <w:szCs w:val="28"/>
        </w:rPr>
        <w:t xml:space="preserve">, NASDAQ </w:t>
      </w:r>
      <w:r w:rsidRPr="000F796D">
        <w:rPr>
          <w:rFonts w:ascii="Times New Roman" w:hAnsi="Times New Roman" w:cs="Times New Roman"/>
          <w:sz w:val="28"/>
          <w:szCs w:val="28"/>
          <w:lang w:val="en-US"/>
        </w:rPr>
        <w:t>OMX</w:t>
      </w:r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r w:rsidRPr="000F796D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Токійської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біржі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Лондонської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біржі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Гонконгівської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біржі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F796D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0F796D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біржі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фондової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біржі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Торонто.</w:t>
      </w:r>
    </w:p>
    <w:p w:rsidR="000F796D" w:rsidRPr="000F796D" w:rsidRDefault="000F796D" w:rsidP="000F7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0F796D">
        <w:rPr>
          <w:rFonts w:ascii="Times New Roman" w:hAnsi="Times New Roman" w:cs="Times New Roman"/>
          <w:i/>
          <w:sz w:val="28"/>
          <w:szCs w:val="28"/>
        </w:rPr>
        <w:t>.</w:t>
      </w:r>
      <w:r w:rsidRPr="000F79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словником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порадами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рекомендованою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96D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0F796D">
        <w:rPr>
          <w:rFonts w:ascii="Times New Roman" w:hAnsi="Times New Roman" w:cs="Times New Roman"/>
          <w:sz w:val="28"/>
          <w:szCs w:val="28"/>
        </w:rPr>
        <w:t>.</w:t>
      </w:r>
    </w:p>
    <w:p w:rsidR="00D93EDB" w:rsidRPr="000F796D" w:rsidRDefault="00D93EDB" w:rsidP="000F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3EDB" w:rsidRPr="000F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7C1"/>
    <w:multiLevelType w:val="hybridMultilevel"/>
    <w:tmpl w:val="455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73A1"/>
    <w:multiLevelType w:val="hybridMultilevel"/>
    <w:tmpl w:val="64E65F3C"/>
    <w:lvl w:ilvl="0" w:tplc="68085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D6408"/>
    <w:multiLevelType w:val="hybridMultilevel"/>
    <w:tmpl w:val="C18A7C3A"/>
    <w:lvl w:ilvl="0" w:tplc="2A56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46364C"/>
    <w:multiLevelType w:val="hybridMultilevel"/>
    <w:tmpl w:val="B3A08642"/>
    <w:lvl w:ilvl="0" w:tplc="429A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FAF"/>
    <w:multiLevelType w:val="multilevel"/>
    <w:tmpl w:val="DF36AA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52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F00603"/>
    <w:multiLevelType w:val="hybridMultilevel"/>
    <w:tmpl w:val="8374574C"/>
    <w:lvl w:ilvl="0" w:tplc="68F4EE8E">
      <w:start w:val="1"/>
      <w:numFmt w:val="decimal"/>
      <w:lvlText w:val="%1."/>
      <w:lvlJc w:val="left"/>
      <w:pPr>
        <w:ind w:left="2359" w:hanging="16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9C7A6E"/>
    <w:multiLevelType w:val="hybridMultilevel"/>
    <w:tmpl w:val="E626BD8A"/>
    <w:lvl w:ilvl="0" w:tplc="986E6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FD1DA9"/>
    <w:multiLevelType w:val="hybridMultilevel"/>
    <w:tmpl w:val="41C0D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35FDD"/>
    <w:multiLevelType w:val="multilevel"/>
    <w:tmpl w:val="067C1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A5E472B"/>
    <w:multiLevelType w:val="hybridMultilevel"/>
    <w:tmpl w:val="ABE8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A6"/>
    <w:rsid w:val="000F69B0"/>
    <w:rsid w:val="000F796D"/>
    <w:rsid w:val="00151DA6"/>
    <w:rsid w:val="001B35CA"/>
    <w:rsid w:val="001F4686"/>
    <w:rsid w:val="0022070C"/>
    <w:rsid w:val="0027628E"/>
    <w:rsid w:val="003C7414"/>
    <w:rsid w:val="003D1C95"/>
    <w:rsid w:val="004355D1"/>
    <w:rsid w:val="0045249F"/>
    <w:rsid w:val="004A4D07"/>
    <w:rsid w:val="00636A5C"/>
    <w:rsid w:val="006A16C4"/>
    <w:rsid w:val="006C7EB0"/>
    <w:rsid w:val="007943C4"/>
    <w:rsid w:val="00D93EDB"/>
    <w:rsid w:val="00E4436F"/>
    <w:rsid w:val="00E4752B"/>
    <w:rsid w:val="00E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5249F"/>
    <w:pPr>
      <w:keepNext/>
      <w:pageBreakBefore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5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9F"/>
    <w:rPr>
      <w:rFonts w:eastAsia="Times New Roman"/>
      <w:b/>
      <w:cap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52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A4D0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A4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4A4D0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6">
    <w:name w:val="Body Text"/>
    <w:basedOn w:val="a"/>
    <w:link w:val="a7"/>
    <w:rsid w:val="004A4D07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4A4D07"/>
    <w:rPr>
      <w:rFonts w:asciiTheme="minorHAnsi" w:hAnsiTheme="minorHAnsi" w:cstheme="minorBidi"/>
      <w:sz w:val="24"/>
      <w:szCs w:val="24"/>
      <w:lang w:val="en-US"/>
    </w:rPr>
  </w:style>
  <w:style w:type="paragraph" w:customStyle="1" w:styleId="a8">
    <w:name w:val="ОбычныйПодрисуночный"/>
    <w:basedOn w:val="a"/>
    <w:rsid w:val="006C7EB0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customStyle="1" w:styleId="a9">
    <w:name w:val="ОбычныйТекстРисунка"/>
    <w:basedOn w:val="a"/>
    <w:rsid w:val="006C7EB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/>
    </w:rPr>
  </w:style>
  <w:style w:type="paragraph" w:customStyle="1" w:styleId="4">
    <w:name w:val="ОбычныйТ4"/>
    <w:basedOn w:val="a"/>
    <w:rsid w:val="000F69B0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Body Text Indent"/>
    <w:basedOn w:val="a"/>
    <w:link w:val="ab"/>
    <w:uiPriority w:val="99"/>
    <w:unhideWhenUsed/>
    <w:rsid w:val="000F69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0F69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customStyle="1" w:styleId="31">
    <w:name w:val="ОбычныйТ3"/>
    <w:basedOn w:val="a"/>
    <w:rsid w:val="000F69B0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Date"/>
    <w:basedOn w:val="a"/>
    <w:next w:val="a"/>
    <w:link w:val="ad"/>
    <w:semiHidden/>
    <w:rsid w:val="000F69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d">
    <w:name w:val="Дата Знак"/>
    <w:basedOn w:val="a0"/>
    <w:link w:val="ac"/>
    <w:semiHidden/>
    <w:rsid w:val="000F69B0"/>
    <w:rPr>
      <w:rFonts w:eastAsia="Times New Roman"/>
      <w:szCs w:val="20"/>
      <w:lang w:val="uk-UA" w:eastAsia="ru-RU"/>
    </w:rPr>
  </w:style>
  <w:style w:type="character" w:styleId="ae">
    <w:name w:val="Strong"/>
    <w:basedOn w:val="a0"/>
    <w:uiPriority w:val="22"/>
    <w:qFormat/>
    <w:rsid w:val="00E475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A16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customStyle="1" w:styleId="Default">
    <w:name w:val="Default"/>
    <w:rsid w:val="00ED0F7E"/>
    <w:pPr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F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5249F"/>
    <w:pPr>
      <w:keepNext/>
      <w:pageBreakBefore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5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9F"/>
    <w:rPr>
      <w:rFonts w:eastAsia="Times New Roman"/>
      <w:b/>
      <w:cap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52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A4D0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A4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4A4D0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6">
    <w:name w:val="Body Text"/>
    <w:basedOn w:val="a"/>
    <w:link w:val="a7"/>
    <w:rsid w:val="004A4D07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4A4D07"/>
    <w:rPr>
      <w:rFonts w:asciiTheme="minorHAnsi" w:hAnsiTheme="minorHAnsi" w:cstheme="minorBidi"/>
      <w:sz w:val="24"/>
      <w:szCs w:val="24"/>
      <w:lang w:val="en-US"/>
    </w:rPr>
  </w:style>
  <w:style w:type="paragraph" w:customStyle="1" w:styleId="a8">
    <w:name w:val="ОбычныйПодрисуночный"/>
    <w:basedOn w:val="a"/>
    <w:rsid w:val="006C7EB0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customStyle="1" w:styleId="a9">
    <w:name w:val="ОбычныйТекстРисунка"/>
    <w:basedOn w:val="a"/>
    <w:rsid w:val="006C7EB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/>
    </w:rPr>
  </w:style>
  <w:style w:type="paragraph" w:customStyle="1" w:styleId="4">
    <w:name w:val="ОбычныйТ4"/>
    <w:basedOn w:val="a"/>
    <w:rsid w:val="000F69B0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Body Text Indent"/>
    <w:basedOn w:val="a"/>
    <w:link w:val="ab"/>
    <w:uiPriority w:val="99"/>
    <w:unhideWhenUsed/>
    <w:rsid w:val="000F69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0F69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customStyle="1" w:styleId="31">
    <w:name w:val="ОбычныйТ3"/>
    <w:basedOn w:val="a"/>
    <w:rsid w:val="000F69B0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Date"/>
    <w:basedOn w:val="a"/>
    <w:next w:val="a"/>
    <w:link w:val="ad"/>
    <w:semiHidden/>
    <w:rsid w:val="000F69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d">
    <w:name w:val="Дата Знак"/>
    <w:basedOn w:val="a0"/>
    <w:link w:val="ac"/>
    <w:semiHidden/>
    <w:rsid w:val="000F69B0"/>
    <w:rPr>
      <w:rFonts w:eastAsia="Times New Roman"/>
      <w:szCs w:val="20"/>
      <w:lang w:val="uk-UA" w:eastAsia="ru-RU"/>
    </w:rPr>
  </w:style>
  <w:style w:type="character" w:styleId="ae">
    <w:name w:val="Strong"/>
    <w:basedOn w:val="a0"/>
    <w:uiPriority w:val="22"/>
    <w:qFormat/>
    <w:rsid w:val="00E475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A16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customStyle="1" w:styleId="Default">
    <w:name w:val="Default"/>
    <w:rsid w:val="00ED0F7E"/>
    <w:pPr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F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dcterms:created xsi:type="dcterms:W3CDTF">2022-09-10T10:27:00Z</dcterms:created>
  <dcterms:modified xsi:type="dcterms:W3CDTF">2022-09-10T12:44:00Z</dcterms:modified>
</cp:coreProperties>
</file>