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AC2C">
      <w:pPr>
        <w:pStyle w:val="2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Пропозиції актуальних тез за темами:</w:t>
      </w:r>
    </w:p>
    <w:p w14:paraId="44C6DE8D">
      <w:pPr>
        <w:pStyle w:val="3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Тема 1. Особливості підприємницької діяльності в Україні</w:t>
      </w:r>
    </w:p>
    <w:p w14:paraId="51FC886D">
      <w:pPr>
        <w:rPr>
          <w:rFonts w:hint="default"/>
        </w:rPr>
      </w:pPr>
    </w:p>
    <w:p w14:paraId="3D3207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Виклики т</w:t>
      </w:r>
      <w:bookmarkStart w:id="0" w:name="_GoBack"/>
      <w:bookmarkEnd w:id="0"/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а можливості для українського бізнесу в умовах війни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Аналіз впливу збройного конфлікту на різні сектори економіки, адаптація бізнес-моделей, нові можливості для розвитку.</w:t>
      </w:r>
    </w:p>
    <w:p w14:paraId="3933E4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Роль малого та середнього бізнесу в економіці України: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>Значення МСБ для створення робочих місць, інновацій та економічного зростання, проблеми та перспективи розвитку.</w:t>
      </w:r>
    </w:p>
    <w:p w14:paraId="51160A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Інноваційна діяльність українських підприємств: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Аналіз рівня інноваційності українського бізнесу, бар’єри для інновацій та шляхи їх подолання.</w:t>
      </w:r>
    </w:p>
    <w:p w14:paraId="182CA5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Соціальна відповідальність бізнесу в Україні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Актуальні тренди корпоративної соціальної відповідальності, приклади успішних ініціатив українських компаній.</w:t>
      </w:r>
    </w:p>
    <w:p w14:paraId="41E67B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Міжнародна економічна співпраця українських підприємств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Вихід українського бізнесу на міжнародні ринки, участь у міжнародних проектах, проблеми та перспективи.</w:t>
      </w:r>
    </w:p>
    <w:p w14:paraId="58687375">
      <w:pPr>
        <w:pStyle w:val="3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color w:val="auto"/>
          <w:sz w:val="28"/>
          <w:szCs w:val="28"/>
          <w:bdr w:val="none" w:color="1F1F1F" w:sz="0" w:space="0"/>
        </w:rPr>
      </w:pPr>
    </w:p>
    <w:p w14:paraId="2F77DDEB">
      <w:pPr>
        <w:pStyle w:val="3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auto"/>
          <w:sz w:val="28"/>
          <w:szCs w:val="28"/>
          <w:bdr w:val="none" w:color="1F1F1F" w:sz="0" w:space="0"/>
        </w:rPr>
        <w:t>Тема 2. Державне регулювання підприємницької діяльності</w:t>
      </w:r>
    </w:p>
    <w:p w14:paraId="7FBC140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Реформа регуляторної політики в Україні: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Прогрес реформ, оцінка їх ефективності, напрямки подальшого розвитку.</w:t>
      </w:r>
    </w:p>
    <w:p w14:paraId="6871749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Вплив державного регулювання на розвиток підприємництва: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Аналіз позитивних та негативних наслідків державного втручання в економіку.</w:t>
      </w:r>
    </w:p>
    <w:p w14:paraId="4747CEF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auto"/>
          <w:sz w:val="28"/>
          <w:szCs w:val="28"/>
          <w:bdr w:val="none" w:color="1F1F1F" w:sz="0" w:space="0"/>
        </w:rPr>
        <w:t>Спрощення процедур ведення бізнесу:</w:t>
      </w:r>
      <w:r>
        <w:rPr>
          <w:rFonts w:hint="default" w:ascii="Times New Roman" w:hAnsi="Times New Roman" w:eastAsia="sans-serif" w:cs="Times New Roman"/>
          <w:b w:val="0"/>
          <w:bCs w:val="0"/>
          <w:color w:val="auto"/>
          <w:sz w:val="28"/>
          <w:szCs w:val="28"/>
          <w:bdr w:val="none" w:color="1F1F1F" w:sz="0" w:space="0"/>
        </w:rPr>
        <w:t xml:space="preserve"> Оцінка ефективнос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ті спрощених процедур реєстрації, ліцензування та звітності.</w:t>
      </w:r>
    </w:p>
    <w:p w14:paraId="697C09B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Державна підтримка малого та середнього бізнесу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Аналіз існуючих програм підтримки, їхня ефективність та пропозиції щодо вдосконалення.</w:t>
      </w:r>
    </w:p>
    <w:p w14:paraId="053D355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Роль державно-приватного партнерства в розвитку підприємництва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Можливості та виклики співпраці держави та бізнесу.</w:t>
      </w:r>
    </w:p>
    <w:p w14:paraId="15EB959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</w:p>
    <w:p w14:paraId="397ABBBB">
      <w:pPr>
        <w:pStyle w:val="3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/>
          <w:b w:val="0"/>
          <w:bCs w:val="0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Тема 3. Інституційна база регулювання підприємницької діяльності</w:t>
      </w:r>
    </w:p>
    <w:p w14:paraId="399A491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Правова система регулювання підприємницької діяльності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Аналіз чинного законодавства, його відповідність європейським стандартам та потреби у вдосконаленні.</w:t>
      </w:r>
    </w:p>
    <w:p w14:paraId="17D2068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Роль антимонопольного законодавства: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Захист конкуренції, запобігання зловживанням монопольною владою.</w:t>
      </w:r>
    </w:p>
    <w:p w14:paraId="757A556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Корпоративне управління в українських компаніях: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Стан корпоративного управління, проблеми та перспективи розвитку.</w:t>
      </w:r>
    </w:p>
    <w:p w14:paraId="681CF5B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Роль професійних об’єднань підприємців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Вплив професійних об’єднань на формування державної політики, захист інтересів бізнесу.</w:t>
      </w:r>
    </w:p>
    <w:p w14:paraId="5886CCF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/>
          <w:iCs/>
          <w:color w:val="1F1F1F"/>
          <w:sz w:val="28"/>
          <w:szCs w:val="28"/>
          <w:bdr w:val="none" w:color="1F1F1F" w:sz="0" w:space="0"/>
        </w:rPr>
        <w:t>Міжнародні стандарти фінансової звітності та їх вплив на український бізнес</w:t>
      </w:r>
      <w:r>
        <w:rPr>
          <w:rStyle w:val="6"/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>:</w:t>
      </w:r>
      <w:r>
        <w:rPr>
          <w:rFonts w:hint="default" w:ascii="Times New Roman" w:hAnsi="Times New Roman" w:eastAsia="sans-serif" w:cs="Times New Roman"/>
          <w:b w:val="0"/>
          <w:bCs w:val="0"/>
          <w:color w:val="1F1F1F"/>
          <w:sz w:val="28"/>
          <w:szCs w:val="28"/>
          <w:bdr w:val="none" w:color="1F1F1F" w:sz="0" w:space="0"/>
        </w:rPr>
        <w:t xml:space="preserve"> Перехід на МСФЗ, виклики та можливості.</w:t>
      </w:r>
    </w:p>
    <w:p w14:paraId="021F82EB">
      <w:pPr>
        <w:pStyle w:val="7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Style w:val="6"/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</w:pPr>
    </w:p>
    <w:p w14:paraId="669179AF">
      <w:pPr>
        <w:pStyle w:val="7"/>
        <w:keepNext w:val="0"/>
        <w:keepLines w:val="0"/>
        <w:pageBreakBefore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Додаткові напрямки для дослідження:</w:t>
      </w:r>
    </w:p>
    <w:p w14:paraId="30ABC54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Цифрова трансформація підприємництва в Україні</w:t>
      </w:r>
    </w:p>
    <w:p w14:paraId="560D2BB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Зелена економіка та екологічні стандарти в бізнесі</w:t>
      </w:r>
    </w:p>
    <w:p w14:paraId="138BE8A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Роль інноваційних фінансових інструментів для розвитку підприємництва</w:t>
      </w:r>
    </w:p>
    <w:p w14:paraId="503B7B2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00" w:leftChars="200" w:right="0" w:rightChars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Соціальне підприємництво в Україні</w:t>
      </w:r>
    </w:p>
    <w:p w14:paraId="4FF0D6AE"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377E9"/>
    <w:multiLevelType w:val="singleLevel"/>
    <w:tmpl w:val="165377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9293E7"/>
    <w:multiLevelType w:val="singleLevel"/>
    <w:tmpl w:val="2A9293E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FB116F"/>
    <w:multiLevelType w:val="singleLevel"/>
    <w:tmpl w:val="2DFB116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A5E33E8"/>
    <w:multiLevelType w:val="singleLevel"/>
    <w:tmpl w:val="7A5E33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E51BA"/>
    <w:rsid w:val="385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2024-09-20T06:24:00Z</dcterms:created>
  <dc:creator>наталья сейсеба�</dc:creator>
  <cp:lastModifiedBy>наталья сейсеба�</cp:lastModifiedBy>
  <dcterms:modified xsi:type="dcterms:W3CDTF">2024-09-20T08:57:44Z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28F6E4657B144E86A79502B1094CEEFD_11</vt:lpwstr>
  </property>
</Properties>
</file>