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B95ED2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B95ED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23573" w:rsidRPr="00CE0475" w:rsidRDefault="0015576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курсу Соціологічні концепції віктимології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95ED2" w:rsidRPr="00B9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Гюстава </w:t>
      </w:r>
      <w:proofErr w:type="spellStart"/>
      <w:r w:rsidR="00B95ED2" w:rsidRPr="00B95ED2">
        <w:rPr>
          <w:rFonts w:ascii="Times New Roman" w:hAnsi="Times New Roman" w:cs="Times New Roman"/>
          <w:b/>
          <w:sz w:val="28"/>
          <w:szCs w:val="28"/>
          <w:lang w:val="uk-UA"/>
        </w:rPr>
        <w:t>Беккера</w:t>
      </w:r>
      <w:proofErr w:type="spellEnd"/>
      <w:r w:rsidR="00B95ED2" w:rsidRPr="00B9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"Як стають споживачами </w:t>
      </w:r>
      <w:proofErr w:type="spellStart"/>
      <w:r w:rsidR="00B95ED2" w:rsidRPr="00B95ED2">
        <w:rPr>
          <w:rFonts w:ascii="Times New Roman" w:hAnsi="Times New Roman" w:cs="Times New Roman"/>
          <w:b/>
          <w:sz w:val="28"/>
          <w:szCs w:val="28"/>
          <w:lang w:val="uk-UA"/>
        </w:rPr>
        <w:t>маріхуани</w:t>
      </w:r>
      <w:proofErr w:type="spellEnd"/>
      <w:r w:rsidR="00B95ED2" w:rsidRPr="00B95ED2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735E" w:rsidRDefault="007B735E" w:rsidP="00155765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з роботою</w:t>
      </w:r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американського соціолога Гюстава Беккера "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Аутсайдери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". Вам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познайомитись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розділом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3 "Як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стають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споживачами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маріхуани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". Автор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7B735E">
        <w:rPr>
          <w:rFonts w:ascii="Times New Roman" w:hAnsi="Times New Roman" w:cs="Times New Roman"/>
          <w:sz w:val="28"/>
          <w:szCs w:val="28"/>
          <w:lang w:val="uk-UA"/>
        </w:rPr>
        <w:t>іологічний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узалежнення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наркотичної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речовини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маріхуани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, яка сама по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собі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абстинентного синдрому не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викликає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але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поле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звязків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цю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залежність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формують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на думку автора проходить в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>. Спробуйте сформулювати ці етапи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визначаєте Ви)</w:t>
      </w:r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та охарактеризуйте їх. </w:t>
      </w:r>
    </w:p>
    <w:p w:rsidR="007B735E" w:rsidRDefault="007B735E" w:rsidP="00155765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етапу визначте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заходи на державному та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громадському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рівнях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узалежнень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5765" w:rsidRPr="007B735E" w:rsidRDefault="00155765" w:rsidP="00155765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Прикріпіть до Завдання </w:t>
      </w:r>
      <w:r w:rsidR="007B735E" w:rsidRPr="007B73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Мудл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файл в форматі </w:t>
      </w:r>
      <w:proofErr w:type="spellStart"/>
      <w:r w:rsidRPr="007B735E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7B735E">
        <w:rPr>
          <w:rFonts w:ascii="Times New Roman" w:hAnsi="Times New Roman" w:cs="Times New Roman"/>
          <w:sz w:val="28"/>
          <w:szCs w:val="28"/>
          <w:lang w:val="uk-UA"/>
        </w:rPr>
        <w:t xml:space="preserve"> з заповненими таблицями. Успіхів!</w:t>
      </w:r>
    </w:p>
    <w:tbl>
      <w:tblPr>
        <w:tblStyle w:val="-30"/>
        <w:tblW w:w="0" w:type="auto"/>
        <w:tblLook w:val="04A0"/>
      </w:tblPr>
      <w:tblGrid>
        <w:gridCol w:w="392"/>
        <w:gridCol w:w="4394"/>
        <w:gridCol w:w="4926"/>
      </w:tblGrid>
      <w:tr w:rsidR="00F12206" w:rsidRPr="00155765" w:rsidTr="00F12206">
        <w:trPr>
          <w:cnfStyle w:val="100000000000"/>
        </w:trPr>
        <w:tc>
          <w:tcPr>
            <w:cnfStyle w:val="001000000000"/>
            <w:tcW w:w="392" w:type="dxa"/>
            <w:shd w:val="clear" w:color="auto" w:fill="C2D69B" w:themeFill="accent3" w:themeFillTint="99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F12206" w:rsidRDefault="007B735E" w:rsidP="00155765">
            <w:pPr>
              <w:pStyle w:val="a3"/>
              <w:tabs>
                <w:tab w:val="left" w:pos="284"/>
              </w:tabs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узалежненості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споживачів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маріхуани</w:t>
            </w:r>
            <w:proofErr w:type="spellEnd"/>
          </w:p>
        </w:tc>
        <w:tc>
          <w:tcPr>
            <w:tcW w:w="4926" w:type="dxa"/>
            <w:shd w:val="clear" w:color="auto" w:fill="C2D69B" w:themeFill="accent3" w:themeFillTint="99"/>
          </w:tcPr>
          <w:p w:rsidR="00F12206" w:rsidRDefault="007B735E" w:rsidP="00F12206">
            <w:pPr>
              <w:pStyle w:val="a3"/>
              <w:tabs>
                <w:tab w:val="left" w:pos="284"/>
              </w:tabs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щодо профілактики та попередження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узалежнень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маріхуани</w:t>
            </w:r>
            <w:proofErr w:type="spellEnd"/>
          </w:p>
        </w:tc>
      </w:tr>
      <w:tr w:rsidR="00F12206" w:rsidRPr="00155765" w:rsidTr="00F12206">
        <w:trPr>
          <w:cnfStyle w:val="000000100000"/>
          <w:trHeight w:val="878"/>
        </w:trPr>
        <w:tc>
          <w:tcPr>
            <w:cnfStyle w:val="001000000000"/>
            <w:tcW w:w="392" w:type="dxa"/>
            <w:shd w:val="clear" w:color="auto" w:fill="C2D69B" w:themeFill="accent3" w:themeFillTint="99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:rsidRPr="00155765" w:rsidTr="00F12206">
        <w:trPr>
          <w:cnfStyle w:val="000000010000"/>
          <w:trHeight w:val="830"/>
        </w:trPr>
        <w:tc>
          <w:tcPr>
            <w:cnfStyle w:val="001000000000"/>
            <w:tcW w:w="392" w:type="dxa"/>
            <w:shd w:val="clear" w:color="auto" w:fill="C2D69B" w:themeFill="accent3" w:themeFillTint="99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:rsidRPr="00155765" w:rsidTr="00F12206">
        <w:trPr>
          <w:cnfStyle w:val="000000100000"/>
          <w:trHeight w:val="843"/>
        </w:trPr>
        <w:tc>
          <w:tcPr>
            <w:cnfStyle w:val="001000000000"/>
            <w:tcW w:w="392" w:type="dxa"/>
            <w:shd w:val="clear" w:color="auto" w:fill="C2D69B" w:themeFill="accent3" w:themeFillTint="99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2206" w:rsidRDefault="00F12206" w:rsidP="00F1220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141A4A"/>
    <w:rsid w:val="00155765"/>
    <w:rsid w:val="001A2FFC"/>
    <w:rsid w:val="00654675"/>
    <w:rsid w:val="007B735E"/>
    <w:rsid w:val="00923573"/>
    <w:rsid w:val="00A25287"/>
    <w:rsid w:val="00B95ED2"/>
    <w:rsid w:val="00CE0475"/>
    <w:rsid w:val="00E834D2"/>
    <w:rsid w:val="00F12206"/>
    <w:rsid w:val="00F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F122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1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kulik</cp:lastModifiedBy>
  <cp:revision>3</cp:revision>
  <dcterms:created xsi:type="dcterms:W3CDTF">2022-10-12T07:26:00Z</dcterms:created>
  <dcterms:modified xsi:type="dcterms:W3CDTF">2022-10-12T07:29:00Z</dcterms:modified>
</cp:coreProperties>
</file>