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708"/>
        <w:jc w:val="both"/>
        <w:rPr/>
      </w:pPr>
      <w:r>
        <w:rPr>
          <w:rFonts w:ascii="Times New Roman" w:hAnsi="Times New Roman"/>
          <w:b/>
          <w:iCs/>
          <w:sz w:val="28"/>
          <w:szCs w:val="28"/>
        </w:rPr>
        <w:t>Тема 4</w:t>
      </w:r>
      <w:r>
        <w:rPr>
          <w:rFonts w:ascii="Times New Roman" w:hAnsi="Times New Roman"/>
          <w:iCs/>
          <w:sz w:val="28"/>
          <w:szCs w:val="28"/>
        </w:rPr>
        <w:t xml:space="preserve">. </w:t>
      </w:r>
      <w:r>
        <w:rPr>
          <w:rFonts w:ascii="Times New Roman" w:hAnsi="Times New Roman"/>
          <w:b/>
          <w:iCs/>
          <w:sz w:val="28"/>
          <w:szCs w:val="28"/>
        </w:rPr>
        <w:t>Актуальні теми наукових досліджень у галузі економіки, фінансів, менеджменту на сторінках іншомовних видань.</w:t>
      </w:r>
    </w:p>
    <w:p>
      <w:pPr>
        <w:pStyle w:val="Normal"/>
        <w:spacing w:lineRule="auto" w:line="240" w:before="0" w:after="0"/>
        <w:ind w:firstLine="709"/>
        <w:jc w:val="center"/>
        <w:rPr>
          <w:rFonts w:ascii="Times New Roman" w:hAnsi="Times New Roman"/>
          <w:b/>
          <w:b/>
          <w:iCs/>
          <w:sz w:val="28"/>
          <w:szCs w:val="28"/>
        </w:rPr>
      </w:pPr>
      <w:r>
        <w:rPr>
          <w:rFonts w:ascii="Times New Roman" w:hAnsi="Times New Roman"/>
          <w:b/>
          <w:iCs/>
          <w:sz w:val="28"/>
          <w:szCs w:val="28"/>
        </w:rPr>
      </w:r>
    </w:p>
    <w:p>
      <w:pPr>
        <w:pStyle w:val="Normal"/>
        <w:spacing w:lineRule="auto" w:line="240" w:before="0" w:after="0"/>
        <w:ind w:firstLine="709"/>
        <w:jc w:val="center"/>
        <w:rPr/>
      </w:pPr>
      <w:r>
        <w:rPr>
          <w:rFonts w:ascii="Times New Roman" w:hAnsi="Times New Roman"/>
          <w:b/>
          <w:iCs/>
          <w:sz w:val="28"/>
          <w:szCs w:val="28"/>
        </w:rPr>
        <w:t>Практичні заняття 10,11</w:t>
      </w:r>
    </w:p>
    <w:p>
      <w:pPr>
        <w:pStyle w:val="Normal"/>
        <w:spacing w:lineRule="auto" w:line="240" w:before="0" w:after="0"/>
        <w:ind w:firstLine="709"/>
        <w:jc w:val="both"/>
        <w:rPr/>
      </w:pPr>
      <w:r>
        <w:rPr>
          <w:rFonts w:ascii="Times New Roman" w:hAnsi="Times New Roman"/>
          <w:b/>
          <w:iCs/>
          <w:sz w:val="28"/>
          <w:szCs w:val="28"/>
        </w:rPr>
        <w:t>Мета</w:t>
      </w:r>
      <w:r>
        <w:rPr>
          <w:rFonts w:ascii="Times New Roman" w:hAnsi="Times New Roman"/>
          <w:iCs/>
          <w:sz w:val="28"/>
          <w:szCs w:val="28"/>
        </w:rPr>
        <w:t>: ознайомитись із актуальними темами наукових досліджень у галузі економіки, фінансів, менеджменту на сторінках іншомовних видань; дослідити інформацію стосовно фахових міжнародних виданнь та науково-метричних баз даних в галузях економіки, фінансів та менеджменту, та оцінити можливості використання їх інформативного потенціалу для проведення власних наукових досліджень.</w:t>
      </w:r>
    </w:p>
    <w:p>
      <w:pPr>
        <w:pStyle w:val="Normal"/>
        <w:spacing w:lineRule="auto" w:line="240" w:before="0" w:after="0"/>
        <w:ind w:firstLine="709"/>
        <w:jc w:val="both"/>
        <w:rPr>
          <w:rFonts w:ascii="Times New Roman" w:hAnsi="Times New Roman"/>
          <w:iCs/>
          <w:sz w:val="28"/>
          <w:szCs w:val="28"/>
        </w:rPr>
      </w:pPr>
      <w:r>
        <w:rPr>
          <w:rFonts w:ascii="Times New Roman" w:hAnsi="Times New Roman"/>
          <w:iCs/>
          <w:sz w:val="28"/>
          <w:szCs w:val="28"/>
        </w:rPr>
      </w:r>
    </w:p>
    <w:p>
      <w:pPr>
        <w:pStyle w:val="Normal"/>
        <w:spacing w:lineRule="auto" w:line="240" w:before="0" w:after="0"/>
        <w:ind w:firstLine="709"/>
        <w:jc w:val="center"/>
        <w:rPr/>
      </w:pPr>
      <w:r>
        <w:rPr>
          <w:rFonts w:ascii="Times New Roman" w:hAnsi="Times New Roman"/>
          <w:b/>
          <w:iCs/>
          <w:sz w:val="28"/>
          <w:szCs w:val="28"/>
        </w:rPr>
        <w:t>План</w:t>
      </w:r>
    </w:p>
    <w:p>
      <w:pPr>
        <w:pStyle w:val="ListParagraph"/>
        <w:numPr>
          <w:ilvl w:val="0"/>
          <w:numId w:val="1"/>
        </w:numPr>
        <w:spacing w:lineRule="auto" w:line="240" w:before="0" w:after="0"/>
        <w:ind w:left="0" w:firstLine="709"/>
        <w:jc w:val="both"/>
        <w:rPr/>
      </w:pPr>
      <w:r>
        <w:rPr>
          <w:rFonts w:ascii="Times New Roman" w:hAnsi="Times New Roman"/>
          <w:iCs/>
          <w:sz w:val="28"/>
          <w:szCs w:val="28"/>
          <w:lang w:val="uk-UA"/>
        </w:rPr>
        <w:t>Н</w:t>
      </w:r>
      <w:r>
        <w:rPr>
          <w:rFonts w:ascii="Times New Roman" w:hAnsi="Times New Roman"/>
          <w:iCs/>
          <w:sz w:val="28"/>
          <w:szCs w:val="28"/>
        </w:rPr>
        <w:t>ауково-метрич</w:t>
      </w:r>
      <w:r>
        <w:rPr>
          <w:rFonts w:ascii="Times New Roman" w:hAnsi="Times New Roman"/>
          <w:iCs/>
          <w:sz w:val="28"/>
          <w:szCs w:val="28"/>
          <w:lang w:val="uk-UA"/>
        </w:rPr>
        <w:t>ні</w:t>
      </w:r>
      <w:r>
        <w:rPr>
          <w:rFonts w:ascii="Times New Roman" w:hAnsi="Times New Roman"/>
          <w:iCs/>
          <w:sz w:val="28"/>
          <w:szCs w:val="28"/>
        </w:rPr>
        <w:t xml:space="preserve"> баз</w:t>
      </w:r>
      <w:r>
        <w:rPr>
          <w:rFonts w:ascii="Times New Roman" w:hAnsi="Times New Roman"/>
          <w:iCs/>
          <w:sz w:val="28"/>
          <w:szCs w:val="28"/>
          <w:lang w:val="uk-UA"/>
        </w:rPr>
        <w:t>и</w:t>
      </w:r>
      <w:r>
        <w:rPr>
          <w:rFonts w:ascii="Times New Roman" w:hAnsi="Times New Roman"/>
          <w:iCs/>
          <w:sz w:val="28"/>
          <w:szCs w:val="28"/>
        </w:rPr>
        <w:t xml:space="preserve"> даних </w:t>
      </w:r>
      <w:r>
        <w:rPr>
          <w:rFonts w:ascii="Times New Roman" w:hAnsi="Times New Roman"/>
          <w:iCs/>
          <w:sz w:val="28"/>
          <w:szCs w:val="28"/>
          <w:lang w:val="uk-UA"/>
        </w:rPr>
        <w:t>в</w:t>
      </w:r>
      <w:r>
        <w:rPr>
          <w:rFonts w:ascii="Times New Roman" w:hAnsi="Times New Roman"/>
          <w:iCs/>
          <w:sz w:val="28"/>
          <w:szCs w:val="28"/>
        </w:rPr>
        <w:t xml:space="preserve"> галузі економіки, фінансів та менеджменту</w:t>
      </w:r>
    </w:p>
    <w:p>
      <w:pPr>
        <w:pStyle w:val="ListParagraph"/>
        <w:numPr>
          <w:ilvl w:val="0"/>
          <w:numId w:val="1"/>
        </w:numPr>
        <w:spacing w:lineRule="auto" w:line="240" w:before="0" w:after="0"/>
        <w:ind w:left="0" w:firstLine="709"/>
        <w:jc w:val="both"/>
        <w:rPr/>
      </w:pPr>
      <w:r>
        <w:rPr>
          <w:rFonts w:ascii="Times New Roman" w:hAnsi="Times New Roman"/>
          <w:iCs/>
          <w:sz w:val="28"/>
          <w:szCs w:val="28"/>
        </w:rPr>
        <w:t>Сучасні англомовні монографії, періодичні видання, статті у галузі економіки.</w:t>
      </w:r>
    </w:p>
    <w:p>
      <w:pPr>
        <w:pStyle w:val="Normal"/>
        <w:spacing w:lineRule="auto" w:line="240" w:before="0" w:after="0"/>
        <w:ind w:firstLine="709"/>
        <w:jc w:val="center"/>
        <w:rPr/>
      </w:pPr>
      <w:r>
        <w:rPr>
          <w:rFonts w:ascii="Times New Roman" w:hAnsi="Times New Roman"/>
          <w:b/>
          <w:iCs/>
          <w:sz w:val="28"/>
          <w:szCs w:val="28"/>
        </w:rPr>
        <w:t>Тематичні матеріали</w:t>
      </w:r>
    </w:p>
    <w:p>
      <w:pPr>
        <w:pStyle w:val="Normal"/>
        <w:spacing w:lineRule="auto" w:line="240" w:before="0" w:after="0"/>
        <w:ind w:firstLine="720"/>
        <w:jc w:val="both"/>
        <w:rPr/>
      </w:pPr>
      <w:r>
        <w:rPr>
          <w:rFonts w:ascii="Times New Roman" w:hAnsi="Times New Roman"/>
          <w:iCs/>
          <w:sz w:val="28"/>
          <w:szCs w:val="28"/>
        </w:rPr>
        <w:t>На ринку освітянських послуг зростає значення міжнародних наукових проектів, активізується співпраця із закордонними науковими установами та навчальними закладами. Мобільність сучасних науковців дозволяє їм презентувати результати своїх досліджень на міжна</w:t>
      </w:r>
      <w:r>
        <w:rPr/>
        <w:t xml:space="preserve"> </w:t>
      </w:r>
      <w:r>
        <w:rPr>
          <w:rFonts w:ascii="Times New Roman" w:hAnsi="Times New Roman"/>
          <w:iCs/>
          <w:sz w:val="28"/>
          <w:szCs w:val="28"/>
        </w:rPr>
        <w:t xml:space="preserve">родних науково-практичних конференціях та інших заходах, публікуватись у міжнародних виданнях, здійснювати дослідження за кордоном, брати участь у міжнародних програмах, спільно із зарубіжними науковцями публікувати матеріали монографічного характеру. Однак актуальною залишається проблема інтеграції вітчизняної науки у європейський і світовий дослідницький та освітянський простір через внесення та підтримку присутності у наукометричних міжнародних базах даних Scopus, Web of Science, Webometrics та ін. </w:t>
      </w:r>
    </w:p>
    <w:p>
      <w:pPr>
        <w:pStyle w:val="Normal"/>
        <w:spacing w:lineRule="auto" w:line="240" w:before="0" w:after="0"/>
        <w:ind w:firstLine="720"/>
        <w:jc w:val="both"/>
        <w:rPr/>
      </w:pPr>
      <w:r>
        <w:rPr>
          <w:rFonts w:ascii="Times New Roman" w:hAnsi="Times New Roman"/>
          <w:iCs/>
          <w:sz w:val="28"/>
          <w:szCs w:val="28"/>
        </w:rPr>
        <w:t>Найобширнішою базою даних наукових публікацій без повних текстів (із посиланнями на них) вважається Scopus – бібліографічна і реферативна база даних та інструмент для відстеження цитованості статей, опублікованих у наукових виданнях, яка містить понад 50 млн реферативних записів про публікації з 18 тис. найбільш інформативних журналів 5 тис. видавництв. Вона індексує наукові журнали, матеріали конференцій та серіальні книжкові видання. Розробником і власником Scopus є видавнича корпорація Elsevier. Класифікаційна система Scopus містить 24 тематичні розділи. Наприклад, до розділу «соціогуманітарні науки» увійшли: мистецтвознавчі та гуманітарні науки;  бізнес, менеджмент та бухгалтерський облік; теорії прийняття рішень;  економіка, економетрика та фінанси; психологія;  соціальні науки.</w:t>
      </w:r>
    </w:p>
    <w:p>
      <w:pPr>
        <w:pStyle w:val="Normal"/>
        <w:spacing w:lineRule="auto" w:line="240" w:before="0" w:after="0"/>
        <w:ind w:firstLine="720"/>
        <w:jc w:val="both"/>
        <w:rPr/>
      </w:pPr>
      <w:r>
        <w:rPr>
          <w:rFonts w:ascii="Times New Roman" w:hAnsi="Times New Roman"/>
          <w:iCs/>
          <w:sz w:val="28"/>
          <w:szCs w:val="28"/>
        </w:rPr>
        <w:t>Scopus індексує наукові джерела, що видаються різними мовами, за умови наявності у них англомовних версій рефератів. Ідентифікація вищих навчальних закладів України у наукометричній базі відбувається шляхом індексації наукових журналів у Scopus та опублікування вченими своїх праць у виданнях, зареєстрованих у базі даних.</w:t>
      </w:r>
    </w:p>
    <w:p>
      <w:pPr>
        <w:pStyle w:val="Normal"/>
        <w:spacing w:lineRule="auto" w:line="240" w:before="0" w:after="0"/>
        <w:ind w:firstLine="720"/>
        <w:jc w:val="both"/>
        <w:rPr/>
      </w:pPr>
      <w:r>
        <w:rPr>
          <w:rFonts w:ascii="Times New Roman" w:hAnsi="Times New Roman"/>
          <w:iCs/>
          <w:sz w:val="28"/>
          <w:szCs w:val="28"/>
        </w:rPr>
        <w:t>Основні критерії відбору до бази даних Scopus:  наявність англомовної назви видання та рефератів усіх статей;  публікування нових випусків із регулярністю не менше ніж один раз на рік;  репутація видавця та міжнародний науковий авторитет провідних членів редколегії, різноманітність місць їхньої роботи, а також авторів;  цитованість членів редколегій та авторів журналів у виданнях, що вже індексуються Scopus;</w:t>
      </w:r>
      <w:r>
        <w:rPr/>
        <w:t xml:space="preserve"> </w:t>
      </w:r>
      <w:r>
        <w:rPr>
          <w:rFonts w:ascii="Times New Roman" w:hAnsi="Times New Roman"/>
          <w:iCs/>
          <w:sz w:val="28"/>
          <w:szCs w:val="28"/>
        </w:rPr>
        <w:t>контроль якості публікацій (наукове рецензування); кількість установ, що передплачують видання;  кількість запитів на внесення видання до Scopus;  наявність власного веб-сайта з англомовними версіями сторінок (оцінюється якість головної сторінки видання);  наявність на веб-сайті повних текстів статей є бажаною, але необов’язковою. Серед проіндексованих українських журналів переважають видання технічного і медичного спрямування, але немає жодного економічного профілю. Наукометрична база даних Scopus створює три види профілів. Авторів – для тих, хто опублікував більше однієї статті у Scopus (профілі надають таку інформацію: ім’я автора, перелік місць його роботи, кількість публікацій, роки публікаційної активності, галузі досліджень, посилання на основних співавторів, загальна кількість цитувань публікацій автора, загальна кількість джерел, на які посилається автор, його індекс Хірша тощо). Установ – для тих, співробітники яких опублікували більше однієї статті у Scopus (профілі надають таку інформацію: адреса установи, кількість авторів – співробітників установи, кількість публікацій співробітників, перелік основних видань, у яких публікуються співробітники установи, та діаграма тематичного розподілу публікацій співробітників установи). Журналів – база даних Scopus дає можливість провести автоматизований аналіз за такими показниками: загальна кількість статей, опублікованих протягом року; загальна кількість посилань на видання у інших джерелах протягом року; відношення кількості посилань на видання до кількості статей, опублікованих у ньому; відсоток статей, які не були процитовані. Отже, сформувався набір наукометричних показників, за якими проводяться кількісні оцінки і порівняльний аналіз наукової активності й продуктивності на рівнях: індивідуальних дослідників; колективів і організацій; країн і регіонів. До цих показників належать:  кількість публікацій;  аналіз частоти цитування публікацій;  імпакт-фактор наукового журналу, в якому вони публікуються;  кількість отриманих вітчизняних і міжнародних грантів;  участь у міжнародній науковій співпраці, складі редколегій наукових журналів.</w:t>
      </w:r>
    </w:p>
    <w:p>
      <w:pPr>
        <w:pStyle w:val="Normal"/>
        <w:spacing w:lineRule="auto" w:line="240" w:before="0" w:after="0"/>
        <w:ind w:firstLine="720"/>
        <w:jc w:val="both"/>
        <w:rPr/>
      </w:pPr>
      <w:r>
        <w:rPr>
          <w:rFonts w:ascii="Times New Roman" w:hAnsi="Times New Roman"/>
          <w:iCs/>
          <w:sz w:val="28"/>
          <w:szCs w:val="28"/>
        </w:rPr>
        <w:t>Одним із суттєвих критеріїв відбору видань та оцінки якості наукової діяльності вчених та наукових колективів є індекс цитованості (тобто, кількість посилань на роботи цього науковця у відпо</w:t>
      </w:r>
      <w:r>
        <w:rPr/>
        <w:t xml:space="preserve"> </w:t>
      </w:r>
      <w:r>
        <w:rPr>
          <w:rFonts w:ascii="Times New Roman" w:hAnsi="Times New Roman"/>
          <w:iCs/>
          <w:sz w:val="28"/>
          <w:szCs w:val="28"/>
        </w:rPr>
        <w:t xml:space="preserve">відній галузі за конкретний період). На світовому ринку використовуються кількісні показники посилань, зокрема: сумарний обсяг цитування, індекс Хірша (h-індекс) та імпакт-фактор. Сумарний обсяг цитування означає, що в одній статті є посилання на іншу із зазначенням її у списку літератури або у виносці. При цьому, якщо у одній статті інша згадується декілька разів, це вважається одним цитуванням. Кожний науковець може дізнатися про свій індекс цитованості в базі даних Scopus (http://www.Scopus.com/search/form/authorFreeLookup.url). У режимі попереднього перегляду можливий пошук за автором – Author Search. Для цього потрібно ввести прізвище та ініціали автора англійською мовою і натиснути Search (Пошук). Відомості про організацію, в якій працює автор, вводити не обов'язково. Інформація про авторів розміщується на відповідних сторінках. За наявності великої кількості однакових прізвищ, основною ідентифікуючою ознакою стає останнє місце роботи автора за даними бази даних Scopus – Affiliation (most recent). У розділі History (Історія) можна проглянути дані, що дозволяють оцінити та ідентифікувати автора: Publication range (Діапазон публікацій), Source history (Історія джерел) і Affiliation history (Історія приналежності до організації). У результаті пошуку можна отримати таку інформацію: кількість документів у Scopus; кількість посилань у Scopus; кількість документів, у яких цитується автор (h-індекс); кількість співавторів; кількість результатів веб-пошуку; предметні області, в яких публікувався автор. Індекс Хірша – це кількісна характеристика продуктивності вченого, яка ґрунтується на кількості його публікацій і цитувань цих публікацій. Як зазначає Х. Хірш, h-індекс дорівнює 1, якщо на кожну з опублікованих вченим статей є лише одне посилання або на одну опубліковану статтю посилалися 100 разів. Якщо ж у дослідника є 1 стаття з 9 цитуваннями, 2 статті з 8 цитуваннями, 3 статті з 7 цитуваннями, ..., 9 статей із 1 цитуванням кожної з них, то його h-індекс дорівнює 5. Розподіл кількості публікацій N(q) залежно від кількості їхніх цитувань q у грубому наближенні відповідає гіперболі: N(q) ≈ const × q – 1. Координата точки перетину цієї кривої з прямою N(q) = q і дорівнює індексу Хірша [5]. Для українських вчених, які бажають ознайомити світову спільноту з результатами своїх наукових досліджень, на сайті http://onti.tpu.ru/data/10.html представлено 133 зарубіжних журнали з імпакт-фактором за тематикою "Менеджмент, бізнес, фінанси, економіка". Популярністю також користується реферативна наукометрична база даних наукових публікацій проекту Web of Knowledge компанії Thomson Reuters – Web of Science. Вона забезпечує доступ до понад 11 тис. журналів та до більше ніж 110 тис. матеріалів конференцій. Ця база дозволяє організовувати пошук за ключовими словами, за окремим автором і за організацією (університетом), підключаючи при цьому потужний апарат аналізу знайдених результатів. Результат пошуку як за автором, так і за організацією дозволяє оцінити загальну кількість публікацій, кількість цитувань, індекс Хірша та інші показники. База даних наукового цитування Web of Science складається з трьох розділів: природничі науки (охоплює 5866 журналів із 1945 р.); соціальні (1747 – з 1956 р.); мистецтво і гуманітарні науки (1135 – з 1975 р.). </w:t>
      </w:r>
    </w:p>
    <w:p>
      <w:pPr>
        <w:pStyle w:val="Normal"/>
        <w:spacing w:lineRule="auto" w:line="240" w:before="0" w:after="0"/>
        <w:ind w:firstLine="720"/>
        <w:jc w:val="both"/>
        <w:rPr/>
      </w:pPr>
      <w:r>
        <w:rPr>
          <w:rFonts w:ascii="Times New Roman" w:hAnsi="Times New Roman"/>
          <w:iCs/>
          <w:sz w:val="28"/>
          <w:szCs w:val="28"/>
        </w:rPr>
        <w:t>На відміну від розглянутих баз даних, Webometrics займається якісною оцінкою сайтів, тобто їх рейтингуванням. Це поняття з’явилось у 1997 р. На сьогодні Webometrics досліджує Інтернет-присутність за такими напрямами: збирання даних (інформаційний пошук тощо); веб-індикатори (індекси цитування, відвідуваність сайтів); соціальні феномени Інтернету (соціальні мережі, спільноти сайтів); аналіз гіперпосилань (зокрема зв'язку між сайтами вузів і наукових організацій). Для дослідження веб-сайта використовують показник веб імпактфактор, який розраховується як відношення кількості вхідних посилань на сайт V до загальної кількості сторінок сайта S. Параметр S визначається пошуковими системами і може істотно відрізнятися від</w:t>
      </w:r>
      <w:r>
        <w:rPr/>
        <w:t xml:space="preserve"> </w:t>
      </w:r>
      <w:r>
        <w:rPr>
          <w:rFonts w:ascii="Times New Roman" w:hAnsi="Times New Roman"/>
          <w:iCs/>
          <w:sz w:val="28"/>
          <w:szCs w:val="28"/>
        </w:rPr>
        <w:t>реальної кількості сторінок сайта, тому значення параметра веб імпактфактору залежить від використовуваної пошукової системи, мови сайта та інших факторів.</w:t>
      </w:r>
    </w:p>
    <w:p>
      <w:pPr>
        <w:pStyle w:val="Normal"/>
        <w:spacing w:lineRule="auto" w:line="240" w:before="0" w:after="0"/>
        <w:ind w:firstLine="709"/>
        <w:jc w:val="both"/>
        <w:rPr>
          <w:b w:val="false"/>
          <w:b w:val="false"/>
          <w:bCs w:val="false"/>
        </w:rPr>
      </w:pPr>
      <w:r>
        <w:rPr>
          <w:rFonts w:ascii="Times New Roman" w:hAnsi="Times New Roman"/>
          <w:b w:val="false"/>
          <w:bCs w:val="false"/>
          <w:iCs/>
          <w:sz w:val="28"/>
          <w:szCs w:val="28"/>
          <w:lang w:val="en-US"/>
        </w:rPr>
        <w:t>Міністерство освіти і науки України оприлюднило оновлений Перелік наукових фахових видань України, в яких можуть публікуватися результати дисертаційних робітна здобуття наукових ступенів доктора наук, кандидата наук та ступеня доктора філософії. До категорії А включено 87 видань, у 45 з них у складі співзасновників НАН України та/або установи НАН України. До категорії Б включено 632 видання, у 51 з них у складі співзасновників НАН України та/або установи НАН України. Також до цієї категорії включено 3 електронні видання.</w:t>
        <w:br/>
        <w:t>Наукові видання публікуються державною мовою, англійською мовою та/або іншими офіційними мовами Європейського Союзу. У разі публікації англійською мовою та/або іншими офіційними мовами Європейського Союзу опубліковані матеріали мають супроводжуватися анотацією та переліком ключових слів державною мовою.</w:t>
      </w:r>
    </w:p>
    <w:p>
      <w:pPr>
        <w:pStyle w:val="Normal"/>
        <w:spacing w:lineRule="auto" w:line="240" w:before="0" w:after="0"/>
        <w:ind w:firstLine="708"/>
        <w:jc w:val="center"/>
        <w:rPr>
          <w:rFonts w:ascii="Times New Roman" w:hAnsi="Times New Roman"/>
          <w:sz w:val="28"/>
          <w:szCs w:val="28"/>
          <w:highlight w:val="white"/>
        </w:rPr>
      </w:pPr>
      <w:r>
        <w:rPr>
          <w:rFonts w:ascii="Times New Roman" w:hAnsi="Times New Roman"/>
          <w:b w:val="false"/>
          <w:bCs w:val="false"/>
          <w:iCs/>
          <w:sz w:val="28"/>
          <w:szCs w:val="28"/>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Symbol">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f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qFormat/>
    <w:rPr>
      <w:i/>
      <w:iCs/>
    </w:rPr>
  </w:style>
  <w:style w:type="character" w:styleId="ListLabel1">
    <w:name w:val="ListLabel 1"/>
    <w:qFormat/>
    <w:rPr>
      <w:rFonts w:ascii="Symbol" w:hAnsi="Symbol" w:eastAsia="Calibri" w:cs="Times New Roman"/>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Times New Roman" w:hAnsi="Times New Roman" w:eastAsia="Times New Roman" w:cs="Times New Roman"/>
      <w:spacing w:val="0"/>
      <w:w w:val="100"/>
      <w:sz w:val="28"/>
      <w:szCs w:val="28"/>
      <w:lang w:val="uk-UA" w:eastAsia="uk-UA" w:bidi="uk-UA"/>
    </w:rPr>
  </w:style>
  <w:style w:type="character" w:styleId="ListLabel6">
    <w:name w:val="ListLabel 6"/>
    <w:qFormat/>
    <w:rPr>
      <w:lang w:val="uk-UA" w:eastAsia="uk-UA" w:bidi="uk-UA"/>
    </w:rPr>
  </w:style>
  <w:style w:type="character" w:styleId="ListLabel7">
    <w:name w:val="ListLabel 7"/>
    <w:qFormat/>
    <w:rPr>
      <w:lang w:val="uk-UA" w:eastAsia="uk-UA" w:bidi="uk-UA"/>
    </w:rPr>
  </w:style>
  <w:style w:type="character" w:styleId="ListLabel8">
    <w:name w:val="ListLabel 8"/>
    <w:qFormat/>
    <w:rPr>
      <w:lang w:val="uk-UA" w:eastAsia="uk-UA" w:bidi="uk-UA"/>
    </w:rPr>
  </w:style>
  <w:style w:type="character" w:styleId="ListLabel9">
    <w:name w:val="ListLabel 9"/>
    <w:qFormat/>
    <w:rPr>
      <w:lang w:val="uk-UA" w:eastAsia="uk-UA" w:bidi="uk-UA"/>
    </w:rPr>
  </w:style>
  <w:style w:type="character" w:styleId="ListLabel10">
    <w:name w:val="ListLabel 10"/>
    <w:qFormat/>
    <w:rPr>
      <w:lang w:val="uk-UA" w:eastAsia="uk-UA" w:bidi="uk-UA"/>
    </w:rPr>
  </w:style>
  <w:style w:type="character" w:styleId="ListLabel11">
    <w:name w:val="ListLabel 11"/>
    <w:qFormat/>
    <w:rPr>
      <w:lang w:val="uk-UA" w:eastAsia="uk-UA" w:bidi="uk-UA"/>
    </w:rPr>
  </w:style>
  <w:style w:type="character" w:styleId="ListLabel12">
    <w:name w:val="ListLabel 12"/>
    <w:qFormat/>
    <w:rPr>
      <w:lang w:val="uk-UA" w:eastAsia="uk-UA" w:bidi="uk-UA"/>
    </w:rPr>
  </w:style>
  <w:style w:type="character" w:styleId="ListLabel13">
    <w:name w:val="ListLabel 13"/>
    <w:qFormat/>
    <w:rPr>
      <w:lang w:val="uk-UA" w:eastAsia="uk-UA" w:bidi="uk-UA"/>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eastAsia="Times New Roman"/>
      <w:lang w:val="ru-RU" w:eastAsia="ru-RU"/>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Application>Neat_Office/6.2.8.2$Windows_x86 LibreOffice_project/</Application>
  <Pages>4</Pages>
  <Words>1309</Words>
  <Characters>8969</Characters>
  <CharactersWithSpaces>10291</CharactersWithSpaces>
  <Paragraphs>14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2021-02-12T19:28:00Z</dcterms:created>
  <dc:creator>q</dc:creator>
  <dc:description/>
  <dc:language>en-US</dc:language>
  <cp:lastModifiedBy/>
  <dcterms:modified xsi:type="dcterms:W3CDTF">2022-12-14T17:46:12Z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