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3E" w:rsidRPr="001E3FBB" w:rsidRDefault="0057533E" w:rsidP="0057533E">
      <w:pPr>
        <w:pStyle w:val="Default"/>
        <w:jc w:val="center"/>
        <w:rPr>
          <w:b/>
          <w:sz w:val="28"/>
          <w:szCs w:val="28"/>
          <w:lang w:val="uk-UA"/>
        </w:rPr>
      </w:pPr>
      <w:r w:rsidRPr="001E3FBB">
        <w:rPr>
          <w:b/>
          <w:sz w:val="28"/>
          <w:szCs w:val="28"/>
          <w:lang w:val="uk-UA"/>
        </w:rPr>
        <w:t>Лекція № 4</w:t>
      </w:r>
    </w:p>
    <w:p w:rsidR="0057533E" w:rsidRPr="00B852AA" w:rsidRDefault="0057533E" w:rsidP="0057533E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57533E" w:rsidRDefault="0057533E" w:rsidP="0057533E">
      <w:pPr>
        <w:pStyle w:val="Default"/>
        <w:ind w:firstLine="72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Тема:</w:t>
      </w:r>
      <w:r w:rsidRPr="00B852AA">
        <w:rPr>
          <w:b/>
          <w:bCs/>
          <w:sz w:val="28"/>
          <w:szCs w:val="28"/>
          <w:lang w:val="uk-UA"/>
        </w:rPr>
        <w:t xml:space="preserve"> </w:t>
      </w:r>
      <w:r w:rsidRPr="00B852AA">
        <w:rPr>
          <w:sz w:val="28"/>
          <w:szCs w:val="28"/>
          <w:lang w:val="uk-UA"/>
        </w:rPr>
        <w:t>ВПЛИВ ПІДПРИЄМСТВ ХІМІЧНОЇ ПРОМИСЛОВОСТІ НА ДОВКІЛЛЯ.</w:t>
      </w:r>
    </w:p>
    <w:p w:rsidR="0057533E" w:rsidRDefault="0057533E" w:rsidP="0057533E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57533E" w:rsidRDefault="0057533E" w:rsidP="0057533E">
      <w:pPr>
        <w:pStyle w:val="Default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</w:t>
      </w:r>
    </w:p>
    <w:p w:rsidR="0057533E" w:rsidRDefault="0057533E" w:rsidP="0057533E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постановка проблеми. Основні в</w:t>
      </w:r>
      <w:r w:rsidRPr="00F72A66">
        <w:rPr>
          <w:sz w:val="28"/>
          <w:szCs w:val="28"/>
          <w:lang w:val="uk-UA"/>
        </w:rPr>
        <w:t>ідходи під</w:t>
      </w:r>
      <w:r>
        <w:rPr>
          <w:sz w:val="28"/>
          <w:szCs w:val="28"/>
          <w:lang w:val="uk-UA"/>
        </w:rPr>
        <w:t>приємств хімічної промисловості.</w:t>
      </w:r>
    </w:p>
    <w:p w:rsidR="0057533E" w:rsidRPr="0057533E" w:rsidRDefault="0057533E" w:rsidP="005753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iCs/>
          <w:sz w:val="28"/>
          <w:szCs w:val="28"/>
          <w:lang w:val="uk-UA"/>
        </w:rPr>
      </w:pPr>
      <w:r w:rsidRPr="00430720">
        <w:rPr>
          <w:rFonts w:ascii="Times New Roman" w:eastAsia="TimesNewRoman" w:hAnsi="Times New Roman"/>
          <w:bCs/>
          <w:iCs/>
          <w:sz w:val="28"/>
          <w:szCs w:val="28"/>
          <w:lang w:val="uk-UA"/>
        </w:rPr>
        <w:t>Вплив на довкілля виробництва азотних і фосфорних добрив.</w:t>
      </w:r>
      <w:r>
        <w:rPr>
          <w:rFonts w:ascii="Times New Roman" w:eastAsia="TimesNewRoman" w:hAnsi="Times New Roman"/>
          <w:bCs/>
          <w:iCs/>
          <w:sz w:val="28"/>
          <w:szCs w:val="28"/>
          <w:lang w:val="uk-UA"/>
        </w:rPr>
        <w:t xml:space="preserve"> </w:t>
      </w:r>
      <w:r w:rsidRPr="0057533E">
        <w:rPr>
          <w:rFonts w:ascii="Times New Roman" w:eastAsia="TimesNewRoman" w:hAnsi="Times New Roman"/>
          <w:bCs/>
          <w:iCs/>
          <w:sz w:val="28"/>
          <w:szCs w:val="28"/>
          <w:lang w:val="uk-UA"/>
        </w:rPr>
        <w:t>Вплив на довкілля виробництва суперфосфатів.</w:t>
      </w:r>
    </w:p>
    <w:p w:rsidR="0057533E" w:rsidRDefault="0057533E" w:rsidP="005753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iCs/>
          <w:sz w:val="28"/>
          <w:szCs w:val="28"/>
          <w:lang w:val="uk-UA"/>
        </w:rPr>
      </w:pPr>
      <w:r w:rsidRPr="00430720">
        <w:rPr>
          <w:rFonts w:ascii="Times New Roman" w:eastAsia="TimesNewRoman" w:hAnsi="Times New Roman"/>
          <w:bCs/>
          <w:iCs/>
          <w:sz w:val="28"/>
          <w:szCs w:val="28"/>
          <w:lang w:val="uk-UA"/>
        </w:rPr>
        <w:t>Вплив на довкілля та стан здоров’я людини основних токсичних речовин, що можуть спричинити отруєння.</w:t>
      </w:r>
      <w:r>
        <w:rPr>
          <w:rFonts w:ascii="Times New Roman" w:eastAsia="TimesNewRoman" w:hAnsi="Times New Roman"/>
          <w:bCs/>
          <w:iCs/>
          <w:sz w:val="28"/>
          <w:szCs w:val="28"/>
          <w:lang w:val="uk-UA"/>
        </w:rPr>
        <w:t xml:space="preserve"> </w:t>
      </w:r>
      <w:r w:rsidRPr="0057533E">
        <w:rPr>
          <w:rFonts w:ascii="Times New Roman" w:eastAsia="TimesNewRoman" w:hAnsi="Times New Roman"/>
          <w:bCs/>
          <w:iCs/>
          <w:sz w:val="28"/>
          <w:szCs w:val="28"/>
          <w:lang w:val="uk-UA"/>
        </w:rPr>
        <w:t xml:space="preserve">Вплив на довкілля виробництва пластмас і синтетичних матеріалів. </w:t>
      </w:r>
    </w:p>
    <w:p w:rsidR="0057533E" w:rsidRPr="0057533E" w:rsidRDefault="0057533E" w:rsidP="0057533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Cs/>
          <w:iCs/>
          <w:sz w:val="28"/>
          <w:szCs w:val="28"/>
          <w:lang w:val="uk-UA"/>
        </w:rPr>
      </w:pPr>
      <w:bookmarkStart w:id="0" w:name="_GoBack"/>
      <w:bookmarkEnd w:id="0"/>
      <w:r w:rsidRPr="0057533E">
        <w:rPr>
          <w:rFonts w:ascii="Times New Roman" w:hAnsi="Times New Roman"/>
          <w:bCs/>
          <w:sz w:val="28"/>
          <w:szCs w:val="28"/>
          <w:lang w:val="uk-UA"/>
        </w:rPr>
        <w:t xml:space="preserve">Перелік виробництв хімічної промисловості, </w:t>
      </w:r>
      <w:r w:rsidRPr="0057533E">
        <w:rPr>
          <w:rFonts w:ascii="Times New Roman" w:hAnsi="Times New Roman" w:cs="Times New Roman"/>
          <w:bCs/>
          <w:sz w:val="28"/>
          <w:szCs w:val="28"/>
          <w:lang w:val="uk-UA"/>
        </w:rPr>
        <w:t>що забруднюють атмосферне повітря.</w:t>
      </w:r>
    </w:p>
    <w:p w:rsidR="0057533E" w:rsidRDefault="0057533E" w:rsidP="0057533E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За даними міжнародної організації </w:t>
      </w:r>
      <w:r>
        <w:rPr>
          <w:rFonts w:ascii="Times New Roman" w:eastAsia="TimesNewRoman" w:hAnsi="Times New Roman"/>
          <w:sz w:val="28"/>
          <w:szCs w:val="28"/>
          <w:lang w:val="uk-UA"/>
        </w:rPr>
        <w:t>«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Європейський союз хімічних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речовин»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тільки у 1987 році зареєстровано виробництво 11 тис. хімічних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речовин, з яких 25% належать до сильно діючих отруйних речовин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(СДОР) і становлять серйозну загрозу життю людини. Масові отруєння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що трапляються на виробництві, мають певні особливості, які залежать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від характеру виробництва. Передусім, це важкі ураження значної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кількості людей, які перебувають у безпосередній близькості до осередку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ураження, у закритому приміщенні та навколо нього. Через відсутність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вентиляції забруднених приміщень створюються так звані невентильовані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зони, в яких концентрація токсичних речовин найбільша і люди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одержують дуже сильні отруєння.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Винесення токсичних речовин у навколишнє середовище призводить до масових уражень населення та біологічного (тваринного) світу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Варто пригадати декілька великих хімічних катастроф, які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супроводжувалися масовим ураженням населення з важкими екологічними наслідками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: 1984 р. – м. Бхопалі (Індія), вибух резервуару з технічним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метилізоціанатом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; 1984 р. – м.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Іонава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(Мексика), вибух сховища зріджених вуглеводів; 1989 р. – катастрофа у Литві на підприємстві «Азот»; 2007 р. – фосфорна аварія на Львівській залізниці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Разом зі стічними водами підприємств хімічної промисловості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відходять нафтопродукти, завислі сульфати, загальний фосфор, ціаніди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тіоціанати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, сполуки кадмію, кобальту, мангану,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купруму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, нікелю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меркурію,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плюмбуму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, хрому, цинку, сірководень, сірковуглець, спирти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бензол, формальдегід, фурфурол, фенол, поверхнево-активні речовини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пестициди.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У хімічній та нафтохімічній промисловості щорічно утворюється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значна кількість твердих відходів, які потребують утилізації. Тільки до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30% з них використовують як вторинні ресурси. До 40% невикористаних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твердих відходів знищують (спалюють або вивозять на звалища), а решту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складають у спеціально відведених місцях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Основними твердими відходами галузей є фосфогіпс, кубові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залишки, вапнякові та гіпсові відходи, шлам дистильованої суспензії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галітові залишки флотаційного збагачення хлориду кальцію тощо.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lastRenderedPageBreak/>
        <w:t>Виробництво добрив для сільського господарства має велике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значення і безперервно збільшується. Найбільше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поширені азотні та фосфорні добрива: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• азотні − у вигляді аміачних (аміачна вода, сульфат амонію та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інші), нітрити (кальцієва, натрієва селітра),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амідних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(наприклад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сечовина);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• фосфорні − у формі суперфосфату.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Мінеральні добрива можуть бути простими та складними, тобто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містити один або декілька компонентів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У виробництві селітри можливе забруднення повітря оксидами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азоту, пилом селітри; крім того, існують джерела тепло- та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вологовиділення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, небезпека хімічних і термічних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опіків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людей. Відомо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також, що селітра, особливо калієва,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вибухо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- та пожежонебезпечна.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Боротьба з негативними факторами включає низку технічних та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оздоровчих заходів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Оздоровчі заходи у виробництві селітри включають запобігання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забрудненню повітря токсичними газами і пилом, боротьбу із залишковим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тепловиділенням, захист працівників від травм і отруєнь, а також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потрапляння токсинів у навколишнє середовище.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b/>
          <w:bCs/>
          <w:i/>
          <w:iCs/>
          <w:sz w:val="28"/>
          <w:szCs w:val="28"/>
          <w:lang w:val="uk-UA"/>
        </w:rPr>
      </w:pP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Головними речовинами для одержання суперфосфатних добрив є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фосфорити та апатити.</w:t>
      </w:r>
    </w:p>
    <w:p w:rsidR="0057533E" w:rsidRPr="009919E6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9919E6">
        <w:rPr>
          <w:rFonts w:ascii="Times New Roman" w:eastAsia="TimesNewRoman" w:hAnsi="Times New Roman"/>
          <w:iCs/>
          <w:sz w:val="28"/>
          <w:szCs w:val="28"/>
          <w:lang w:val="uk-UA"/>
        </w:rPr>
        <w:t xml:space="preserve">Фосфорити </w:t>
      </w:r>
      <w:r w:rsidRPr="009919E6">
        <w:rPr>
          <w:rFonts w:ascii="Times New Roman" w:eastAsia="TimesNewRoman" w:hAnsi="Times New Roman"/>
          <w:sz w:val="28"/>
          <w:szCs w:val="28"/>
          <w:lang w:val="uk-UA"/>
        </w:rPr>
        <w:t>являють собою пухку землисту масу, яка містить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9919E6">
        <w:rPr>
          <w:rFonts w:ascii="Times New Roman" w:eastAsia="TimesNewRoman" w:hAnsi="Times New Roman"/>
          <w:sz w:val="28"/>
          <w:szCs w:val="28"/>
          <w:lang w:val="uk-UA"/>
        </w:rPr>
        <w:t>фосфати і суміші з вапном, піском та іншими речовинами.</w:t>
      </w:r>
    </w:p>
    <w:p w:rsidR="0057533E" w:rsidRPr="009919E6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9919E6">
        <w:rPr>
          <w:rFonts w:ascii="Times New Roman" w:eastAsia="TimesNewRoman" w:hAnsi="Times New Roman"/>
          <w:iCs/>
          <w:sz w:val="28"/>
          <w:szCs w:val="28"/>
          <w:lang w:val="uk-UA"/>
        </w:rPr>
        <w:t xml:space="preserve">Апатит </w:t>
      </w:r>
      <w:r>
        <w:rPr>
          <w:rFonts w:ascii="Times New Roman" w:eastAsia="TimesNewRoman" w:hAnsi="Times New Roman"/>
          <w:sz w:val="28"/>
          <w:szCs w:val="28"/>
          <w:lang w:val="uk-UA"/>
        </w:rPr>
        <w:t>–</w:t>
      </w:r>
      <w:r w:rsidRPr="009919E6">
        <w:rPr>
          <w:rFonts w:ascii="Times New Roman" w:eastAsia="TimesNewRoman" w:hAnsi="Times New Roman"/>
          <w:sz w:val="28"/>
          <w:szCs w:val="28"/>
          <w:lang w:val="uk-UA"/>
        </w:rPr>
        <w:t xml:space="preserve"> твердий мінерал, який має вміст 16-34% фосфату. У цих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9919E6">
        <w:rPr>
          <w:rFonts w:ascii="Times New Roman" w:eastAsia="TimesNewRoman" w:hAnsi="Times New Roman"/>
          <w:sz w:val="28"/>
          <w:szCs w:val="28"/>
          <w:lang w:val="uk-UA"/>
        </w:rPr>
        <w:t>рудах фосфор знаходиться у важкорозчинному стані.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9919E6">
        <w:rPr>
          <w:rFonts w:ascii="Times New Roman" w:eastAsia="TimesNewRoman" w:hAnsi="Times New Roman"/>
          <w:iCs/>
          <w:sz w:val="28"/>
          <w:szCs w:val="28"/>
          <w:lang w:val="uk-UA"/>
        </w:rPr>
        <w:t xml:space="preserve">Суперфосфат </w:t>
      </w:r>
      <w:r>
        <w:rPr>
          <w:rFonts w:ascii="Times New Roman" w:eastAsia="TimesNewRoman" w:hAnsi="Times New Roman"/>
          <w:sz w:val="28"/>
          <w:szCs w:val="28"/>
          <w:lang w:val="uk-UA"/>
        </w:rPr>
        <w:t>–</w:t>
      </w:r>
      <w:r w:rsidRPr="009919E6">
        <w:rPr>
          <w:rFonts w:ascii="Times New Roman" w:eastAsia="TimesNewRoman" w:hAnsi="Times New Roman"/>
          <w:sz w:val="28"/>
          <w:szCs w:val="28"/>
          <w:lang w:val="uk-UA"/>
        </w:rPr>
        <w:t xml:space="preserve"> легкорозчинна фосфоритна сіль з домішкою гіпсу.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9919E6">
        <w:rPr>
          <w:rFonts w:ascii="Times New Roman" w:eastAsia="TimesNewRoman" w:hAnsi="Times New Roman"/>
          <w:sz w:val="28"/>
          <w:szCs w:val="28"/>
          <w:lang w:val="uk-UA"/>
        </w:rPr>
        <w:t>Головним шкідливим фактором у виробництві на перших етапах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9919E6">
        <w:rPr>
          <w:rFonts w:ascii="Times New Roman" w:eastAsia="TimesNewRoman" w:hAnsi="Times New Roman"/>
          <w:sz w:val="28"/>
          <w:szCs w:val="28"/>
          <w:lang w:val="uk-UA"/>
        </w:rPr>
        <w:t>виробництва суперфосфатних добрив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є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пиловиділення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. Концентрація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пилу в повітрі біля дробарок, сит, транспортерів може досягати десятків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та сотень міліграмів в 1 м</w:t>
      </w:r>
      <w:r w:rsidRPr="00B512E7">
        <w:rPr>
          <w:rFonts w:ascii="Times New Roman" w:eastAsia="TimesNewRoman" w:hAnsi="Times New Roman"/>
          <w:sz w:val="28"/>
          <w:szCs w:val="28"/>
          <w:vertAlign w:val="superscript"/>
          <w:lang w:val="uk-UA"/>
        </w:rPr>
        <w:t>3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, тобто бути дуже високою. На інших етапах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технологічного процесу повітря буває забруднене сполуками фтору та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фтористим воднем і фтористим силіцієм, які є побічними продуктами 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утворюються внаслідок присутності у рудах фтору в значних кількостях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(до 3,8%). Виділення цих газоподібних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сполук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утворюються в період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завантаження і розвантаження реактора, камер розпаду, під час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транспортування готової продукції, а також розвантаження у вигляді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пилу.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У робітників суперфосфатних виробництв можливі опіки сірчаною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кислотою. Обпалювальну дію може справляти і готовий продукт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суперфосфат, оскільки він може мати вміст залишків кислоти, яка не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прореагувала (до 0,3%). У виробництві суперфосфату в разі використання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як сировини апатитового концентрату зникає декілька пилових операцій з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розпаду, дроблення, просіювання руди, що може значно зменшити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можливість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апатитного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силікатозу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у працівників цього підприємства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Значно зменшилися викиди під час використання безперервного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(замкненого) процесу, конструкцій камер, що виключають проміжні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операцій перевантаження, необхідність фізичної роботи всередині камери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Для боротьби з пилом і токсичними газами ефективні установки витяжної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вентиляції з покриттям джерел і аспірацією газів безпосередньо з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апаратів.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lastRenderedPageBreak/>
        <w:t>Аналіз роботи Всесвітнього центр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у лікування отруєнь показав, що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найчастіше трапляються випадки м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асових отруєнь хлором, аміаком,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чадним газом та іншими типовими ток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сичними реагентами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подразнювальної, задушливої (пари різн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их кислот) та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загальнотоксичної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дії (сірководень, суміш вуглеводню,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ме</w:t>
      </w:r>
      <w:r>
        <w:rPr>
          <w:rFonts w:ascii="Times New Roman" w:eastAsia="TimesNewRoman" w:hAnsi="Times New Roman"/>
          <w:sz w:val="28"/>
          <w:szCs w:val="28"/>
          <w:lang w:val="uk-UA"/>
        </w:rPr>
        <w:t>ркаптантів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та інших). Переважна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більшість хімічних речовин широ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ко використовується в народному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господарстві (понад 1300). Вони мають тр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ивалий латентний період дії, що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негативно впливає на раннє ро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зпізнавання отруєння та надання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невідкладної медичної допомоги. Для СДО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Р подразливої дії (хлор, аміак,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фосин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) характерний розвиток хімічно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го вогнища з вираженим больовим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синдромом, подразненням 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ихальних шляхів з обструктивним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порушенням, токсичний набряк леге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нь, а також можливе рефлекторне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аплое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. Після ураження СДОР іншої груп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и (ФОС, оксид вуглецю, синильна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кислота) з'являються порушення функц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ій нервової та серцево-судинної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систем, ураження нирок, печінки, п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орушення дихання,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екзотоксичний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шок.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Отруєння може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здійснюватись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пестицидами (фосфорорганічні 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хлороорганічні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сполуки, рту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тьорганічні сполуки, карбонати,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нітрофенольні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сполуки, препарати, які містять мідь) і нітритами.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До важливих промислових отрут відносять: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• свинець,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тетраетилсвинець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, ртуть, марганець, берилій;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• гази – хлор, хлорид водню, сі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рчаний газ, сірководень, оксиди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нітрогену, аміак, оксид вуглецю;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• органічні розчини − бензин,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метиловий спирт, сірковуглець,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бензол,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чотирихлористий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вуглець,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дихлоретан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амідо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>- та нітроспо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луки бензолу та інших циклічних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сполук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;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• анілін, нітробензол, тринітрото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луол,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двоядерні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амідосполуки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та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поліциклічні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 xml:space="preserve"> вуглеці.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Широке розповсюдження мають пластмаси на основі синтетичних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смол. Вони можуть бути вироблені шляхом полімеризації (полімерні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8160A8">
        <w:rPr>
          <w:rFonts w:ascii="Times New Roman" w:eastAsia="TimesNewRoman" w:hAnsi="Times New Roman"/>
          <w:sz w:val="28"/>
          <w:szCs w:val="28"/>
          <w:lang w:val="uk-UA"/>
        </w:rPr>
        <w:t>стироли</w:t>
      </w:r>
      <w:proofErr w:type="spellEnd"/>
      <w:r w:rsidRPr="008160A8">
        <w:rPr>
          <w:rFonts w:ascii="Times New Roman" w:eastAsia="TimesNewRoman" w:hAnsi="Times New Roman"/>
          <w:sz w:val="28"/>
          <w:szCs w:val="28"/>
          <w:lang w:val="uk-UA"/>
        </w:rPr>
        <w:t>, вініловий спирт та інше) або поліконденсації (амінопласти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поліефірні смоли та інше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).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За великого різноманіття використовуваних хімічних речовин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кількість технологічних особливостей у виробництві пластмас 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синтетичних матеріалів мають загальні елементи, які впливають на умови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праці.</w:t>
      </w:r>
    </w:p>
    <w:p w:rsidR="0057533E" w:rsidRPr="008160A8" w:rsidRDefault="0057533E" w:rsidP="005753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160A8">
        <w:rPr>
          <w:rFonts w:ascii="Times New Roman" w:eastAsia="TimesNewRoman" w:hAnsi="Times New Roman"/>
          <w:sz w:val="28"/>
          <w:szCs w:val="28"/>
          <w:lang w:val="uk-UA"/>
        </w:rPr>
        <w:t>Під час виробництва полімерних смол з мономерів можливе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виділення токсичних парів і газів (фенолу, формальдегіду, хлористого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ваніліну та ін.), яке супроводжується залишковим тепловиділенням та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160A8">
        <w:rPr>
          <w:rFonts w:ascii="Times New Roman" w:eastAsia="TimesNewRoman" w:hAnsi="Times New Roman"/>
          <w:sz w:val="28"/>
          <w:szCs w:val="28"/>
          <w:lang w:val="uk-UA"/>
        </w:rPr>
        <w:t>підвищенням температури повітря на робочих місцях.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  <w:lang w:val="uk-UA"/>
        </w:rPr>
      </w:pPr>
      <w:r w:rsidRPr="00F92575">
        <w:rPr>
          <w:rFonts w:ascii="Times New Roman" w:eastAsiaTheme="minorHAnsi" w:hAnsi="Times New Roman"/>
          <w:bCs/>
          <w:sz w:val="28"/>
          <w:szCs w:val="28"/>
          <w:lang w:val="uk-UA"/>
        </w:rPr>
        <w:t>Перелік виробництв хімічної промисловості,</w:t>
      </w:r>
      <w:r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 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  <w:lang w:val="uk-UA"/>
        </w:rPr>
      </w:pPr>
      <w:r w:rsidRPr="00F92575">
        <w:rPr>
          <w:rFonts w:ascii="Times New Roman" w:eastAsiaTheme="minorHAnsi" w:hAnsi="Times New Roman"/>
          <w:bCs/>
          <w:sz w:val="28"/>
          <w:szCs w:val="28"/>
          <w:lang w:val="uk-UA"/>
        </w:rPr>
        <w:t>що забруднюють атмосферне повітря</w:t>
      </w:r>
    </w:p>
    <w:p w:rsidR="0057533E" w:rsidRDefault="0057533E" w:rsidP="005753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57533E" w:rsidTr="000F3FD1">
        <w:tc>
          <w:tcPr>
            <w:tcW w:w="4814" w:type="dxa"/>
          </w:tcPr>
          <w:p w:rsidR="0057533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  <w:t>Виробництво</w:t>
            </w:r>
          </w:p>
        </w:tc>
        <w:tc>
          <w:tcPr>
            <w:tcW w:w="4815" w:type="dxa"/>
          </w:tcPr>
          <w:p w:rsidR="0057533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  <w:t>Забруднювальні речовини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D54473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Виробництво аміаку та сечовини 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аміак, пари азотної кислоти, оксид азоту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Виробництво азотної кислоти </w:t>
            </w:r>
          </w:p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оксид азоту, аміак, пари соляної кислоти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lastRenderedPageBreak/>
              <w:t>Виробництво фосфорної кислоти</w:t>
            </w:r>
          </w:p>
        </w:tc>
        <w:tc>
          <w:tcPr>
            <w:tcW w:w="4815" w:type="dxa"/>
          </w:tcPr>
          <w:p w:rsidR="0057533E" w:rsidRPr="00AA23F1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діоксид азоту, пари фосфорної кислоти</w:t>
            </w:r>
            <w:r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гідрофторид</w:t>
            </w:r>
            <w:proofErr w:type="spellEnd"/>
          </w:p>
        </w:tc>
      </w:tr>
      <w:tr w:rsid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азотних і калійних</w:t>
            </w:r>
          </w:p>
          <w:p w:rsidR="0057533E" w:rsidRPr="002D7254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добрив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пари азотної кислоти, аміак, хлорид</w:t>
            </w:r>
          </w:p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7533E" w:rsidTr="000F3FD1">
        <w:tc>
          <w:tcPr>
            <w:tcW w:w="4814" w:type="dxa"/>
          </w:tcPr>
          <w:p w:rsidR="0057533E" w:rsidRPr="006158C9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Виробництво емалей, фарб 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пари розчинників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синтетичних спиртів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пари спиртів, оксид вуглецю, діоксид</w:t>
            </w:r>
          </w:p>
          <w:p w:rsidR="0057533E" w:rsidRPr="006158C9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вуглецю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кетонів,</w:t>
            </w:r>
          </w:p>
          <w:p w:rsidR="0057533E" w:rsidRPr="0064245C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proofErr w:type="spellStart"/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фенолформальдегідних</w:t>
            </w:r>
            <w:proofErr w:type="spellEnd"/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 смол</w:t>
            </w:r>
          </w:p>
        </w:tc>
        <w:tc>
          <w:tcPr>
            <w:tcW w:w="4815" w:type="dxa"/>
          </w:tcPr>
          <w:p w:rsidR="0057533E" w:rsidRPr="0064245C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формальдегід, фенол, аміак, діоксид азоту</w:t>
            </w:r>
            <w:r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, </w:t>
            </w: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оксид азоту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органічних барвників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пари розчинників, толуолу, ксилолу,</w:t>
            </w:r>
          </w:p>
          <w:p w:rsidR="0057533E" w:rsidRPr="007022AA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бензолу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Виробництво вибухових речовин </w:t>
            </w:r>
          </w:p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діоксид азоту, оксид азоту, оксид вуглецю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полімерів та епоксидних</w:t>
            </w:r>
          </w:p>
          <w:p w:rsidR="0057533E" w:rsidRPr="00CD3CE9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смол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пил, альдегіди, оксид вуглецю, оксид</w:t>
            </w:r>
          </w:p>
          <w:p w:rsidR="0057533E" w:rsidRPr="00CD3CE9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азоту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фармацевтичних</w:t>
            </w:r>
          </w:p>
          <w:p w:rsidR="0057533E" w:rsidRPr="00D54473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матеріалів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пил, оксид вуглецю, пари кислот</w:t>
            </w:r>
          </w:p>
        </w:tc>
      </w:tr>
      <w:tr w:rsid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хлору та гідроксиду</w:t>
            </w:r>
          </w:p>
          <w:p w:rsidR="0057533E" w:rsidRPr="005C7DC9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натрію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хлор, водень, пари соляної кислоти</w:t>
            </w:r>
          </w:p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гуми, бутадієну,</w:t>
            </w:r>
          </w:p>
          <w:p w:rsidR="0057533E" w:rsidRPr="005C7DC9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proofErr w:type="spellStart"/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латексів</w:t>
            </w:r>
            <w:proofErr w:type="spellEnd"/>
          </w:p>
        </w:tc>
        <w:tc>
          <w:tcPr>
            <w:tcW w:w="4815" w:type="dxa"/>
          </w:tcPr>
          <w:p w:rsidR="0057533E" w:rsidRPr="00AA66E2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оксид сірки, оксид вуглецю, аміак, ацетон</w:t>
            </w:r>
            <w:r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, </w:t>
            </w: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бензин, сірководень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Електролітичне виробництво хлору із</w:t>
            </w:r>
          </w:p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хлоридів, виробництво </w:t>
            </w:r>
            <w:proofErr w:type="spellStart"/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гідрохлориду</w:t>
            </w:r>
            <w:proofErr w:type="spellEnd"/>
          </w:p>
        </w:tc>
        <w:tc>
          <w:tcPr>
            <w:tcW w:w="4815" w:type="dxa"/>
          </w:tcPr>
          <w:p w:rsidR="0057533E" w:rsidRPr="00AA66E2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хлор, </w:t>
            </w:r>
            <w:proofErr w:type="spellStart"/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гідрохлорид</w:t>
            </w:r>
            <w:proofErr w:type="spellEnd"/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, пари соляної кислоти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 xml:space="preserve">Виробництво сірки </w:t>
            </w:r>
          </w:p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оксид сірки, сірководень, оксид вуглецю</w:t>
            </w:r>
          </w:p>
        </w:tc>
      </w:tr>
      <w:tr w:rsidR="0057533E" w:rsidRPr="0057533E" w:rsidTr="000F3FD1">
        <w:tc>
          <w:tcPr>
            <w:tcW w:w="4814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Виробництво сірчаної кислоти,</w:t>
            </w:r>
          </w:p>
          <w:p w:rsidR="0057533E" w:rsidRPr="001C019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сульфатів і сульфітів</w:t>
            </w:r>
          </w:p>
        </w:tc>
        <w:tc>
          <w:tcPr>
            <w:tcW w:w="4815" w:type="dxa"/>
          </w:tcPr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діоксид сірки, триоксид сірки, оксид</w:t>
            </w:r>
          </w:p>
          <w:p w:rsidR="0057533E" w:rsidRPr="0028071E" w:rsidRDefault="0057533E" w:rsidP="000F3F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uk-UA"/>
              </w:rPr>
            </w:pPr>
            <w:r w:rsidRPr="0028071E">
              <w:rPr>
                <w:rFonts w:ascii="Times New Roman" w:eastAsia="TimesNewRoman" w:hAnsi="Times New Roman"/>
                <w:sz w:val="28"/>
                <w:szCs w:val="28"/>
                <w:lang w:val="uk-UA"/>
              </w:rPr>
              <w:t>вуглецю</w:t>
            </w:r>
          </w:p>
        </w:tc>
      </w:tr>
    </w:tbl>
    <w:p w:rsidR="0057533E" w:rsidRDefault="0057533E" w:rsidP="0057533E">
      <w:pPr>
        <w:pStyle w:val="Default"/>
        <w:jc w:val="both"/>
        <w:rPr>
          <w:b/>
          <w:bCs/>
          <w:lang w:val="uk-UA"/>
        </w:rPr>
      </w:pPr>
    </w:p>
    <w:p w:rsidR="0088673F" w:rsidRPr="0057533E" w:rsidRDefault="0088673F">
      <w:pPr>
        <w:rPr>
          <w:lang w:val="uk-UA"/>
        </w:rPr>
      </w:pPr>
    </w:p>
    <w:sectPr w:rsidR="0088673F" w:rsidRPr="005753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6673B"/>
    <w:multiLevelType w:val="hybridMultilevel"/>
    <w:tmpl w:val="056C6A6A"/>
    <w:lvl w:ilvl="0" w:tplc="A1549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33E"/>
    <w:rsid w:val="0057533E"/>
    <w:rsid w:val="0088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5CF87"/>
  <w15:chartTrackingRefBased/>
  <w15:docId w15:val="{2DEA2245-6579-425D-A502-2BABE719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3E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753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57533E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table" w:styleId="a4">
    <w:name w:val="Table Grid"/>
    <w:basedOn w:val="a1"/>
    <w:uiPriority w:val="39"/>
    <w:rsid w:val="00575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5786</Words>
  <Characters>3299</Characters>
  <Application>Microsoft Office Word</Application>
  <DocSecurity>0</DocSecurity>
  <Lines>27</Lines>
  <Paragraphs>18</Paragraphs>
  <ScaleCrop>false</ScaleCrop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2019-02-19T18:30:00Z</dcterms:created>
  <dcterms:modified xsi:type="dcterms:W3CDTF">2019-02-19T18:31:00Z</dcterms:modified>
</cp:coreProperties>
</file>