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04E2" w:rsidRPr="00513224" w:rsidRDefault="000404E2" w:rsidP="000404E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513224">
        <w:rPr>
          <w:rFonts w:ascii="Times New Roman" w:hAnsi="Times New Roman" w:cs="Times New Roman"/>
          <w:b/>
          <w:bCs/>
          <w:sz w:val="28"/>
          <w:szCs w:val="28"/>
          <w:lang w:val="uk-UA"/>
        </w:rPr>
        <w:t>ТЕМА 5</w:t>
      </w:r>
    </w:p>
    <w:p w:rsidR="000404E2" w:rsidRPr="00513224" w:rsidRDefault="000404E2" w:rsidP="000404E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513224">
        <w:rPr>
          <w:rFonts w:ascii="Times New Roman" w:hAnsi="Times New Roman" w:cs="Times New Roman"/>
          <w:b/>
          <w:bCs/>
          <w:sz w:val="28"/>
          <w:szCs w:val="28"/>
          <w:lang w:val="uk-UA"/>
        </w:rPr>
        <w:t>Діяльність міжнародних організацій у сфері запобігання та протидії злочинам та іншим протиправним діянням</w:t>
      </w:r>
    </w:p>
    <w:p w:rsidR="000404E2" w:rsidRPr="00513224" w:rsidRDefault="000404E2" w:rsidP="000404E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513224">
        <w:rPr>
          <w:rFonts w:ascii="Times New Roman" w:hAnsi="Times New Roman" w:cs="Times New Roman"/>
          <w:b/>
          <w:bCs/>
          <w:sz w:val="28"/>
          <w:szCs w:val="28"/>
          <w:lang w:val="uk-UA"/>
        </w:rPr>
        <w:t>План:</w:t>
      </w:r>
    </w:p>
    <w:p w:rsidR="000404E2" w:rsidRPr="00513224" w:rsidRDefault="000404E2" w:rsidP="000404E2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513224">
        <w:rPr>
          <w:rFonts w:ascii="Times New Roman" w:hAnsi="Times New Roman" w:cs="Times New Roman"/>
          <w:bCs/>
          <w:sz w:val="28"/>
          <w:szCs w:val="28"/>
          <w:lang w:val="uk-UA"/>
        </w:rPr>
        <w:t>1. Співробітництво із запобігання та протидії злочинності в Організації Об’єднаних Націй</w:t>
      </w:r>
    </w:p>
    <w:p w:rsidR="000404E2" w:rsidRPr="00513224" w:rsidRDefault="000404E2" w:rsidP="000404E2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513224">
        <w:rPr>
          <w:rFonts w:ascii="Times New Roman" w:hAnsi="Times New Roman" w:cs="Times New Roman"/>
          <w:bCs/>
          <w:sz w:val="28"/>
          <w:szCs w:val="28"/>
          <w:lang w:val="uk-UA"/>
        </w:rPr>
        <w:t>2. Міжнародна організація кримінальної поліції (Інтерпол): цілі, завдання, функції, структура</w:t>
      </w:r>
    </w:p>
    <w:p w:rsidR="000404E2" w:rsidRDefault="000404E2" w:rsidP="000404E2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513224">
        <w:rPr>
          <w:rFonts w:ascii="Times New Roman" w:hAnsi="Times New Roman" w:cs="Times New Roman"/>
          <w:bCs/>
          <w:sz w:val="28"/>
          <w:szCs w:val="28"/>
          <w:lang w:val="uk-UA"/>
        </w:rPr>
        <w:t>3. Міжнародне співробітництво із запобігання та протидії злочинності в межах регіональних організацій</w:t>
      </w:r>
    </w:p>
    <w:p w:rsidR="000404E2" w:rsidRDefault="000404E2" w:rsidP="000404E2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0404E2" w:rsidRDefault="000404E2" w:rsidP="000404E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0404E2">
        <w:rPr>
          <w:rFonts w:ascii="Times New Roman" w:hAnsi="Times New Roman" w:cs="Times New Roman"/>
          <w:b/>
          <w:bCs/>
          <w:sz w:val="28"/>
          <w:szCs w:val="28"/>
          <w:lang w:val="uk-UA"/>
        </w:rPr>
        <w:t>1. Співробітництво із запобігання та протидії злочинності в Організації Об’єднаних Націй</w:t>
      </w:r>
    </w:p>
    <w:p w:rsidR="000404E2" w:rsidRDefault="000404E2" w:rsidP="000404E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0404E2" w:rsidRPr="000404E2" w:rsidRDefault="000404E2" w:rsidP="000404E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0404E2">
        <w:rPr>
          <w:rFonts w:ascii="Times New Roman" w:hAnsi="Times New Roman" w:cs="Times New Roman"/>
          <w:bCs/>
          <w:sz w:val="28"/>
          <w:szCs w:val="28"/>
          <w:lang w:val="uk-UA"/>
        </w:rPr>
        <w:t>Проблема зростання кримінальної складової суспільства є актуальною в усі часи, розвиток міжнародних відносин і міжнародного права дозволили організувати співробітництво держав у боротьбі зі злочинністю за допомогою міжнародних організацій. У 1872 р в Лондоні відбувся перший пенітенціарний конгрес, на якому була створена Міжнародна кримінальна і пенітенціарна комісія. У подальшому відбулося ще 10 конгресів, на яких обговорювалися питання ідентифікації злочинців, координації діяльності поліцейських органів, підготовки кримінальної статистики.</w:t>
      </w:r>
    </w:p>
    <w:p w:rsidR="000404E2" w:rsidRPr="000404E2" w:rsidRDefault="000404E2" w:rsidP="000404E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0404E2">
        <w:rPr>
          <w:rFonts w:ascii="Times New Roman" w:hAnsi="Times New Roman" w:cs="Times New Roman"/>
          <w:bCs/>
          <w:sz w:val="28"/>
          <w:szCs w:val="28"/>
          <w:lang w:val="uk-UA"/>
        </w:rPr>
        <w:t>Діяльність, спрямована на боротьбу зі злочинністю, здійснювалася і в рамках Ліги Націй в період після Першої світової війни. Так, була зроблена спроба уніфікувати кримінальне законодавство. У рамках цієї організації було створено кілька комітетів з питань боротьби з незаконним обігом наркотиків, торгівлею жінками та дітьми та ін. Дані комітети контролювали виконання відповідних договорів, збирали інформацію, обробляли дані про злочинність.</w:t>
      </w:r>
    </w:p>
    <w:p w:rsidR="000404E2" w:rsidRPr="000404E2" w:rsidRDefault="000404E2" w:rsidP="000404E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0404E2">
        <w:rPr>
          <w:rFonts w:ascii="Times New Roman" w:hAnsi="Times New Roman" w:cs="Times New Roman"/>
          <w:bCs/>
          <w:sz w:val="28"/>
          <w:szCs w:val="28"/>
          <w:lang w:val="uk-UA"/>
        </w:rPr>
        <w:t>Найбільш активно діяльність міжнародних організацій в галузі боротьби зі злочинністю стала здійснюватися з моменту створення ООН. На сьогоднішній день існує величезна розгалужена інституційна система, елементи якої здійснюють діяльність у міжнародній співпраці з боротьби зі злочинністю.</w:t>
      </w:r>
    </w:p>
    <w:p w:rsidR="000404E2" w:rsidRPr="000404E2" w:rsidRDefault="000404E2" w:rsidP="000404E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0404E2">
        <w:rPr>
          <w:rFonts w:ascii="Times New Roman" w:hAnsi="Times New Roman" w:cs="Times New Roman"/>
          <w:bCs/>
          <w:sz w:val="28"/>
          <w:szCs w:val="28"/>
          <w:lang w:val="uk-UA"/>
        </w:rPr>
        <w:t>У 1950 р за рекомендацією Економічної і соціальної ради ООН Генеральна Асамблея прийняла резолюцію, відповідно до якої взяла на себе функції Міжнародної та пенітенціарної комісії. У подальшому при цій Раді були створені спеціальні органи - консультативні групи ООН, спеціальний відділ ООН з соціальних справ, тимчасовий консультативний комітет експертів, які повинні здійснювати функції по боротьбі зі злочинністю.</w:t>
      </w:r>
    </w:p>
    <w:p w:rsidR="000404E2" w:rsidRPr="000404E2" w:rsidRDefault="000404E2" w:rsidP="000404E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0404E2">
        <w:rPr>
          <w:rFonts w:ascii="Times New Roman" w:hAnsi="Times New Roman" w:cs="Times New Roman"/>
          <w:bCs/>
          <w:sz w:val="28"/>
          <w:szCs w:val="28"/>
          <w:lang w:val="uk-UA"/>
        </w:rPr>
        <w:t>В даний час можна виділити три напрями в діяльності ООН по боротьбі зі злочинністю:</w:t>
      </w:r>
    </w:p>
    <w:p w:rsidR="000404E2" w:rsidRPr="000404E2" w:rsidRDefault="000404E2" w:rsidP="000404E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0404E2">
        <w:rPr>
          <w:rFonts w:ascii="Times New Roman" w:hAnsi="Times New Roman" w:cs="Times New Roman"/>
          <w:bCs/>
          <w:sz w:val="28"/>
          <w:szCs w:val="28"/>
          <w:lang w:val="uk-UA"/>
        </w:rPr>
        <w:t>• боротьба з міжнародними злочинами;</w:t>
      </w:r>
    </w:p>
    <w:p w:rsidR="000404E2" w:rsidRPr="000404E2" w:rsidRDefault="000404E2" w:rsidP="000404E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0404E2">
        <w:rPr>
          <w:rFonts w:ascii="Times New Roman" w:hAnsi="Times New Roman" w:cs="Times New Roman"/>
          <w:bCs/>
          <w:sz w:val="28"/>
          <w:szCs w:val="28"/>
          <w:lang w:val="uk-UA"/>
        </w:rPr>
        <w:t>• боротьба зі злочинами міжнародного характеру;</w:t>
      </w:r>
    </w:p>
    <w:p w:rsidR="000404E2" w:rsidRPr="000404E2" w:rsidRDefault="000404E2" w:rsidP="000404E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0404E2">
        <w:rPr>
          <w:rFonts w:ascii="Times New Roman" w:hAnsi="Times New Roman" w:cs="Times New Roman"/>
          <w:bCs/>
          <w:sz w:val="28"/>
          <w:szCs w:val="28"/>
          <w:lang w:val="uk-UA"/>
        </w:rPr>
        <w:lastRenderedPageBreak/>
        <w:t xml:space="preserve">• розробка рекомендацій щодо попередження </w:t>
      </w:r>
      <w:proofErr w:type="spellStart"/>
      <w:r w:rsidRPr="000404E2">
        <w:rPr>
          <w:rFonts w:ascii="Times New Roman" w:hAnsi="Times New Roman" w:cs="Times New Roman"/>
          <w:bCs/>
          <w:sz w:val="28"/>
          <w:szCs w:val="28"/>
          <w:lang w:val="uk-UA"/>
        </w:rPr>
        <w:t>загальнокримінальних</w:t>
      </w:r>
      <w:proofErr w:type="spellEnd"/>
      <w:r w:rsidRPr="000404E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злочинів та поводження з злочинцями.</w:t>
      </w:r>
    </w:p>
    <w:p w:rsidR="000404E2" w:rsidRPr="000404E2" w:rsidRDefault="000404E2" w:rsidP="000404E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0404E2">
        <w:rPr>
          <w:rFonts w:ascii="Times New Roman" w:hAnsi="Times New Roman" w:cs="Times New Roman"/>
          <w:bCs/>
          <w:sz w:val="28"/>
          <w:szCs w:val="28"/>
          <w:lang w:val="uk-UA"/>
        </w:rPr>
        <w:t>Різні органи ООН здійснюють дані напрямки на практиці. Розглянемо більш детально діяльність органів ООН.</w:t>
      </w:r>
    </w:p>
    <w:p w:rsidR="000404E2" w:rsidRPr="000404E2" w:rsidRDefault="000404E2" w:rsidP="000404E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0404E2" w:rsidRPr="000404E2" w:rsidRDefault="000404E2" w:rsidP="000404E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0404E2">
        <w:rPr>
          <w:rFonts w:ascii="Times New Roman" w:hAnsi="Times New Roman" w:cs="Times New Roman"/>
          <w:b/>
          <w:bCs/>
          <w:sz w:val="28"/>
          <w:szCs w:val="28"/>
          <w:lang w:val="uk-UA"/>
        </w:rPr>
        <w:t>Рада Безпеки ООН</w:t>
      </w:r>
    </w:p>
    <w:p w:rsidR="000404E2" w:rsidRPr="000404E2" w:rsidRDefault="000404E2" w:rsidP="000404E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0404E2">
        <w:rPr>
          <w:rFonts w:ascii="Times New Roman" w:hAnsi="Times New Roman" w:cs="Times New Roman"/>
          <w:bCs/>
          <w:sz w:val="28"/>
          <w:szCs w:val="28"/>
          <w:lang w:val="uk-UA"/>
        </w:rPr>
        <w:t>З урахуванням його компетенції цей орган ООН вирішує питання, пов'язані з вступниками скаргами від держав про скоєння стосовно них злочинів проти миру і безпеки, а також з протидією тероризму. Рада Безпеки ООН обговорює на своїх засіданнях факти скоєння найбільш небезпечних терористичних актів. З усіх питань він виносить резолюції, положення яких обов'язкові для держав.</w:t>
      </w:r>
    </w:p>
    <w:p w:rsidR="000404E2" w:rsidRPr="000404E2" w:rsidRDefault="000404E2" w:rsidP="000404E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0404E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В даний час існує проблема, пов'язана з повноваженнями Ради Безпеки ООН у питаннях протидії тероризму. Запроваджуючи санкції проти підозрюваних у причетності до тероризму, Рада Безпеки ООН навмисне підміняє органи правосуддя і діє не в рамках норм міжнародного права, і часто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з порушенням прав людини.</w:t>
      </w:r>
    </w:p>
    <w:p w:rsidR="000404E2" w:rsidRPr="000404E2" w:rsidRDefault="000404E2" w:rsidP="000404E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0404E2">
        <w:rPr>
          <w:rFonts w:ascii="Times New Roman" w:hAnsi="Times New Roman" w:cs="Times New Roman"/>
          <w:bCs/>
          <w:sz w:val="28"/>
          <w:szCs w:val="28"/>
          <w:lang w:val="uk-UA"/>
        </w:rPr>
        <w:t>У міру розвитку міжнародного права Рада Безпеки ООН і Європейський союз почали займатися такими питаннями, які у Статуті ООН чітко не прописані, а саме складання чорних списків підозрюваних у терористичній діяльності.</w:t>
      </w:r>
    </w:p>
    <w:p w:rsidR="000404E2" w:rsidRPr="000404E2" w:rsidRDefault="000404E2" w:rsidP="000404E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0404E2">
        <w:rPr>
          <w:rFonts w:ascii="Times New Roman" w:hAnsi="Times New Roman" w:cs="Times New Roman"/>
          <w:bCs/>
          <w:sz w:val="28"/>
          <w:szCs w:val="28"/>
          <w:lang w:val="uk-UA"/>
        </w:rPr>
        <w:t>Рада Безпеки ООН і Європейський союз вже включили в чорні списки близько 380 осіб і 65 організацій. У даний список можуть потрапляти не тільки держави і окремі організації, а й індивіди (громадяни), які підозрюються в пособництві терористичній діяльності. Відносно таких осіб можливі несприятливі наслідки: заморожування рахунків у банках, заборона переміщення в іншу державу та інші обмеження.</w:t>
      </w:r>
    </w:p>
    <w:p w:rsidR="000404E2" w:rsidRPr="000404E2" w:rsidRDefault="000404E2" w:rsidP="000404E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0404E2">
        <w:rPr>
          <w:rFonts w:ascii="Times New Roman" w:hAnsi="Times New Roman" w:cs="Times New Roman"/>
          <w:bCs/>
          <w:sz w:val="28"/>
          <w:szCs w:val="28"/>
          <w:lang w:val="uk-UA"/>
        </w:rPr>
        <w:t>У відповідності з міжнародними нормами існують чіткі правила: кожен підозрюваний чи обвинувачений повинен мати можливість на захист своїх прав, на те, щоб довести зворотне в ході справедливого розгляду справи. В рамках Ради Безпеки ООН таких процедур не існує, і з цієї точки зору є суперечності з нормами міжнародного права. Радою Безпеки ООН не дотримуються норми відправлення правосуддя: зокрема осіб, які включаються в чорні списки, зазвичай не повідомляють про надходження запиту і у них немає можливості висловитися, їм не повідомляється про прийняте рішення до тих пір, поки вони не перетнуть кордон або не скористаються рахунком у банку. В даному випадку вони не мають мінімальної можливості довести свою невинність перед Радою Безпеки ООН, так само як і викреслити себе з таких чорних списків.</w:t>
      </w:r>
    </w:p>
    <w:p w:rsidR="000404E2" w:rsidRDefault="000404E2" w:rsidP="000404E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0404E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Кілька років тому дана проблема виникла і в ряді європейських держав, коли деякі особи потрапили до списку санкцій без причин. Підсумком цього стало кілька скарг, розглянутих у Європейському суді з прав людини (ЄСПЛ). При цьому ЄСПЛ врахував те, що особи нічого не знали про це і не мали інформації про даний списку, що є порушенням їх конституційних прав. Аргументація про те, що Рада Безпеки ООН вирішив включити їх до списку з </w:t>
      </w:r>
      <w:r w:rsidRPr="000404E2">
        <w:rPr>
          <w:rFonts w:ascii="Times New Roman" w:hAnsi="Times New Roman" w:cs="Times New Roman"/>
          <w:bCs/>
          <w:sz w:val="28"/>
          <w:szCs w:val="28"/>
          <w:lang w:val="uk-UA"/>
        </w:rPr>
        <w:lastRenderedPageBreak/>
        <w:t>метою підтримання миру і безпеки, не була прийнята до уваги. ЄСПЛ пояснив це тим, що протидія тероризму повинне протікати в рамках тих міжнародних норм, які діють у сфері захисту прав людини. З того ж питання представники Європейського комітету з прав людини відзначили, що методи, використовувані ООН для складання чорних списків підозрюваних у тероризмі, "абсолютно довільні" і "порушують основні прав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а людини і влада закону".</w:t>
      </w:r>
    </w:p>
    <w:p w:rsidR="000404E2" w:rsidRDefault="000404E2" w:rsidP="000404E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0404E2" w:rsidRPr="000404E2" w:rsidRDefault="000404E2" w:rsidP="000404E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0404E2">
        <w:rPr>
          <w:rFonts w:ascii="Times New Roman" w:hAnsi="Times New Roman" w:cs="Times New Roman"/>
          <w:b/>
          <w:bCs/>
          <w:sz w:val="28"/>
          <w:szCs w:val="28"/>
          <w:lang w:val="uk-UA"/>
        </w:rPr>
        <w:t>2. Міжнародна організація кримінальної поліції (Інтерпол): цілі, завдання, функції, структура</w:t>
      </w:r>
    </w:p>
    <w:p w:rsidR="000404E2" w:rsidRDefault="000404E2" w:rsidP="000404E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0404E2" w:rsidRPr="000404E2" w:rsidRDefault="000404E2" w:rsidP="000404E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0404E2">
        <w:rPr>
          <w:rFonts w:ascii="Times New Roman" w:hAnsi="Times New Roman" w:cs="Times New Roman"/>
          <w:bCs/>
          <w:sz w:val="28"/>
          <w:szCs w:val="28"/>
          <w:lang w:val="uk-UA"/>
        </w:rPr>
        <w:t>Міжнародна організація кримінальної поліції була створена в 1923 р у Відні на зустрічі керівників поліцейських служб ряду країн. Це був другий Міжнародний конгрес поліції, учасники якого вирішили створити власне міжнародне об'єднання.</w:t>
      </w:r>
    </w:p>
    <w:p w:rsidR="000404E2" w:rsidRPr="000404E2" w:rsidRDefault="000404E2" w:rsidP="000404E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0404E2">
        <w:rPr>
          <w:rFonts w:ascii="Times New Roman" w:hAnsi="Times New Roman" w:cs="Times New Roman"/>
          <w:bCs/>
          <w:sz w:val="28"/>
          <w:szCs w:val="28"/>
          <w:lang w:val="uk-UA"/>
        </w:rPr>
        <w:t>Спочатку вона іменувалася Міжнародною комісією кримінальної поліції, тобто була допоміжним органом міжнародних поліцейських конгресів. Конгреси збиралися один раз на чотири роки, але згодом від їх проведення відмовилися, а Комісія продовжувала діяти, об'єднуючи поліції близько 30 країн світу і щорічно збираючи їх представників. Під час Другої світової війни Комісія практично припинила своє існування, оскільки її штаб-квартира розташовувалася на окупованій тоді території.</w:t>
      </w:r>
    </w:p>
    <w:p w:rsidR="000404E2" w:rsidRPr="000404E2" w:rsidRDefault="000404E2" w:rsidP="000404E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0404E2">
        <w:rPr>
          <w:rFonts w:ascii="Times New Roman" w:hAnsi="Times New Roman" w:cs="Times New Roman"/>
          <w:bCs/>
          <w:sz w:val="28"/>
          <w:szCs w:val="28"/>
          <w:lang w:val="uk-UA"/>
        </w:rPr>
        <w:t>Після Другої світової війни в багатьох країнах світу був відзначений серйозне зростання злочинності. Глави поліції низки європейських країн, а також США ухвалили рішення відродити міжнародну поліцейську організацію. У 1946 р відбулася конференція, де і було прийнято таке рішення.</w:t>
      </w:r>
    </w:p>
    <w:p w:rsidR="000404E2" w:rsidRPr="000404E2" w:rsidRDefault="000404E2" w:rsidP="000404E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0404E2">
        <w:rPr>
          <w:rFonts w:ascii="Times New Roman" w:hAnsi="Times New Roman" w:cs="Times New Roman"/>
          <w:bCs/>
          <w:sz w:val="28"/>
          <w:szCs w:val="28"/>
          <w:lang w:val="uk-UA"/>
        </w:rPr>
        <w:t>Установчі документи цієї організації являють собою Статут, прийнятий в 1956 р ,, і угода організації з Францією про штаб-квартиру, де було офіційно підтверджено перетворення Інтерполу з неурядової міжнародної організації на повноправну м їжак урядову.</w:t>
      </w:r>
    </w:p>
    <w:p w:rsidR="000404E2" w:rsidRPr="000404E2" w:rsidRDefault="000404E2" w:rsidP="000404E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0404E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В даний час Інтерпол - це велика міжнародна організація, друга за чисельністю після ООН і найбільша організація правоохоронних органів, членами якої є 200 держав. У ній не представлені тільки тихоокеанські </w:t>
      </w:r>
      <w:proofErr w:type="spellStart"/>
      <w:r w:rsidRPr="000404E2">
        <w:rPr>
          <w:rFonts w:ascii="Times New Roman" w:hAnsi="Times New Roman" w:cs="Times New Roman"/>
          <w:bCs/>
          <w:sz w:val="28"/>
          <w:szCs w:val="28"/>
          <w:lang w:val="uk-UA"/>
        </w:rPr>
        <w:t>мікронаціі</w:t>
      </w:r>
      <w:proofErr w:type="spellEnd"/>
      <w:r w:rsidRPr="000404E2">
        <w:rPr>
          <w:rFonts w:ascii="Times New Roman" w:hAnsi="Times New Roman" w:cs="Times New Roman"/>
          <w:bCs/>
          <w:sz w:val="28"/>
          <w:szCs w:val="28"/>
          <w:lang w:val="uk-UA"/>
        </w:rPr>
        <w:t>, що живуть на краю світу, кілька частково визнаних держав, а також Північна Корея.</w:t>
      </w:r>
    </w:p>
    <w:p w:rsidR="000404E2" w:rsidRPr="000404E2" w:rsidRDefault="000404E2" w:rsidP="000404E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0404E2">
        <w:rPr>
          <w:rFonts w:ascii="Times New Roman" w:hAnsi="Times New Roman" w:cs="Times New Roman"/>
          <w:bCs/>
          <w:sz w:val="28"/>
          <w:szCs w:val="28"/>
          <w:lang w:val="uk-UA"/>
        </w:rPr>
        <w:t>Мети Інтерполу (ст. 2 Статуту Міжнародної організації кримінальної поліції):</w:t>
      </w:r>
    </w:p>
    <w:p w:rsidR="000404E2" w:rsidRPr="000404E2" w:rsidRDefault="000404E2" w:rsidP="000404E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0404E2">
        <w:rPr>
          <w:rFonts w:ascii="Times New Roman" w:hAnsi="Times New Roman" w:cs="Times New Roman"/>
          <w:bCs/>
          <w:sz w:val="28"/>
          <w:szCs w:val="28"/>
          <w:lang w:val="uk-UA"/>
        </w:rPr>
        <w:t>1) забезпечувати широке взаємодія всіх органів (установ) кримінальної поліції в рамках існуючого законодавства країни і в дусі Загальної декларації прав людини;</w:t>
      </w:r>
    </w:p>
    <w:p w:rsidR="000404E2" w:rsidRPr="000404E2" w:rsidRDefault="000404E2" w:rsidP="000404E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0404E2">
        <w:rPr>
          <w:rFonts w:ascii="Times New Roman" w:hAnsi="Times New Roman" w:cs="Times New Roman"/>
          <w:bCs/>
          <w:sz w:val="28"/>
          <w:szCs w:val="28"/>
          <w:lang w:val="uk-UA"/>
        </w:rPr>
        <w:t>2) створювати і розвивати установи, які можуть успішно сприяти попередженню кримінальної злочинності та боротьби з нею.</w:t>
      </w:r>
    </w:p>
    <w:p w:rsidR="000404E2" w:rsidRPr="000404E2" w:rsidRDefault="000404E2" w:rsidP="000404E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0404E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Виходячи з цілей, можна виділити дві сфери дії організації: зовнішня - сприяти взаємним прямим контактам кримінальної поліції країн-учасниць; </w:t>
      </w:r>
      <w:r w:rsidRPr="000404E2">
        <w:rPr>
          <w:rFonts w:ascii="Times New Roman" w:hAnsi="Times New Roman" w:cs="Times New Roman"/>
          <w:bCs/>
          <w:sz w:val="28"/>
          <w:szCs w:val="28"/>
          <w:lang w:val="uk-UA"/>
        </w:rPr>
        <w:lastRenderedPageBreak/>
        <w:t>внутрішня - створення різних підрозділів і технічних служб, робота яких в цілому являє собою діяльність спеціалізованого та інформаційного центру Секретаріату.</w:t>
      </w:r>
    </w:p>
    <w:p w:rsidR="000404E2" w:rsidRPr="000404E2" w:rsidRDefault="000404E2" w:rsidP="000404E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0404E2">
        <w:rPr>
          <w:rFonts w:ascii="Times New Roman" w:hAnsi="Times New Roman" w:cs="Times New Roman"/>
          <w:bCs/>
          <w:sz w:val="28"/>
          <w:szCs w:val="28"/>
          <w:lang w:val="uk-UA"/>
        </w:rPr>
        <w:t>Перша мета реалізується за допомогою укладення міжурядових угод про надання відомчої кримінально-поліцейської допомоги. У першу чергу угоди між країнами-сусідами, що дає можливість прискорити і спростити прямі контакти їх кримінальної поліції при вирішенні питань але конкретним злочинам, що зачіпають їхні інтереси. Спочатку їх укладали тільки в країнах Західної Європи, потім і Східна Європа перейняла таку договірну практику.</w:t>
      </w:r>
    </w:p>
    <w:p w:rsidR="000404E2" w:rsidRPr="000404E2" w:rsidRDefault="000404E2" w:rsidP="000404E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0404E2">
        <w:rPr>
          <w:rFonts w:ascii="Times New Roman" w:hAnsi="Times New Roman" w:cs="Times New Roman"/>
          <w:bCs/>
          <w:sz w:val="28"/>
          <w:szCs w:val="28"/>
          <w:lang w:val="uk-UA"/>
        </w:rPr>
        <w:t>Принципи співробітництва Інтерполу</w:t>
      </w:r>
    </w:p>
    <w:p w:rsidR="000404E2" w:rsidRPr="000404E2" w:rsidRDefault="000404E2" w:rsidP="000404E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0404E2">
        <w:rPr>
          <w:rFonts w:ascii="Times New Roman" w:hAnsi="Times New Roman" w:cs="Times New Roman"/>
          <w:bCs/>
          <w:sz w:val="28"/>
          <w:szCs w:val="28"/>
          <w:lang w:val="uk-UA"/>
        </w:rPr>
        <w:t>Можна виділити наступні принципи співпраці:</w:t>
      </w:r>
    </w:p>
    <w:p w:rsidR="000404E2" w:rsidRPr="000404E2" w:rsidRDefault="000404E2" w:rsidP="000404E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0404E2">
        <w:rPr>
          <w:rFonts w:ascii="Times New Roman" w:hAnsi="Times New Roman" w:cs="Times New Roman"/>
          <w:bCs/>
          <w:sz w:val="28"/>
          <w:szCs w:val="28"/>
          <w:lang w:val="uk-UA"/>
        </w:rPr>
        <w:t>1) забезпечення невідворотності відповідальності за вчинене протиправне діяння;</w:t>
      </w:r>
    </w:p>
    <w:p w:rsidR="000404E2" w:rsidRPr="000404E2" w:rsidRDefault="000404E2" w:rsidP="000404E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0404E2">
        <w:rPr>
          <w:rFonts w:ascii="Times New Roman" w:hAnsi="Times New Roman" w:cs="Times New Roman"/>
          <w:bCs/>
          <w:sz w:val="28"/>
          <w:szCs w:val="28"/>
          <w:lang w:val="uk-UA"/>
        </w:rPr>
        <w:t>2) участь у співпраці усіх правоохоронних органів, до функцій яких входять попередження, розкриття, розслідування злочинів, розшук злочинців та безвісти зниклих осіб. В даному випадку необхідно відзначити, що при розгляді Інтерполу під кримінальною поліцією слід розуміти не конкретну адміністративну структуру, а функції щодо участі в розкритті та розслідуванні злочинів і розшуку злочинців;</w:t>
      </w:r>
    </w:p>
    <w:p w:rsidR="000404E2" w:rsidRPr="000404E2" w:rsidRDefault="000404E2" w:rsidP="000404E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0404E2">
        <w:rPr>
          <w:rFonts w:ascii="Times New Roman" w:hAnsi="Times New Roman" w:cs="Times New Roman"/>
          <w:bCs/>
          <w:sz w:val="28"/>
          <w:szCs w:val="28"/>
          <w:lang w:val="uk-UA"/>
        </w:rPr>
        <w:t>3) співробітництво на національному рівні, що спирається на міцну організаційну основу - національні центральні бюро (далі - НЦБ);</w:t>
      </w:r>
    </w:p>
    <w:p w:rsidR="000404E2" w:rsidRPr="000404E2" w:rsidRDefault="000404E2" w:rsidP="000404E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0404E2">
        <w:rPr>
          <w:rFonts w:ascii="Times New Roman" w:hAnsi="Times New Roman" w:cs="Times New Roman"/>
          <w:bCs/>
          <w:sz w:val="28"/>
          <w:szCs w:val="28"/>
          <w:lang w:val="uk-UA"/>
        </w:rPr>
        <w:t>4) чітке визначення особливим державним актом в кожній країні місця НЦБ в загальнодержавному механізмі міжнародного співробітництва в боротьбі зі злочинністю, обсягу і меж його функціональної компетенції у взаєминах з іншими правоохоронними органами;</w:t>
      </w:r>
    </w:p>
    <w:p w:rsidR="000404E2" w:rsidRPr="000404E2" w:rsidRDefault="000404E2" w:rsidP="000404E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0404E2">
        <w:rPr>
          <w:rFonts w:ascii="Times New Roman" w:hAnsi="Times New Roman" w:cs="Times New Roman"/>
          <w:bCs/>
          <w:sz w:val="28"/>
          <w:szCs w:val="28"/>
          <w:lang w:val="uk-UA"/>
        </w:rPr>
        <w:t>5) здійснення співробітництва па основі духу взаємності, обов'язковості виконання надходять від партнерів і генерального секретаріату прохань;</w:t>
      </w:r>
    </w:p>
    <w:p w:rsidR="000404E2" w:rsidRDefault="000404E2" w:rsidP="000404E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0404E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6) здійснення співпраці тільки у справах про </w:t>
      </w:r>
      <w:proofErr w:type="spellStart"/>
      <w:r w:rsidRPr="000404E2">
        <w:rPr>
          <w:rFonts w:ascii="Times New Roman" w:hAnsi="Times New Roman" w:cs="Times New Roman"/>
          <w:bCs/>
          <w:sz w:val="28"/>
          <w:szCs w:val="28"/>
          <w:lang w:val="uk-UA"/>
        </w:rPr>
        <w:t>загальнокримінальних</w:t>
      </w:r>
      <w:proofErr w:type="spellEnd"/>
      <w:r w:rsidRPr="000404E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злочинах; можливість відмови в допомозі у справах політичного, релігійного, військового чи расового характеру.</w:t>
      </w:r>
    </w:p>
    <w:p w:rsidR="000404E2" w:rsidRDefault="000404E2" w:rsidP="000404E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0404E2" w:rsidRPr="000404E2" w:rsidRDefault="000404E2" w:rsidP="000404E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0404E2">
        <w:rPr>
          <w:rFonts w:ascii="Times New Roman" w:hAnsi="Times New Roman" w:cs="Times New Roman"/>
          <w:b/>
          <w:bCs/>
          <w:sz w:val="28"/>
          <w:szCs w:val="28"/>
          <w:lang w:val="uk-UA"/>
        </w:rPr>
        <w:t>3. Міжнародне співробітництво із запобігання та протидії злочинності в межах регіональних організацій</w:t>
      </w:r>
    </w:p>
    <w:p w:rsidR="000404E2" w:rsidRDefault="000404E2" w:rsidP="000404E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0404E2" w:rsidRPr="000404E2" w:rsidRDefault="000404E2" w:rsidP="000404E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0404E2">
        <w:rPr>
          <w:rFonts w:ascii="Times New Roman" w:hAnsi="Times New Roman" w:cs="Times New Roman"/>
          <w:bCs/>
          <w:sz w:val="28"/>
          <w:szCs w:val="28"/>
          <w:lang w:val="uk-UA"/>
        </w:rPr>
        <w:t>Співробітництво держав на регіональному рівні по боротьбі зі злочинністю здійснюється в основному в рамках, встановлених регіональними міжнародними організаціями як загальної, так і спеціальної компетенції. На регіональному рівні можливе щодо оперативно відреагувати на що відбулися в кримінальній сфері зміни, які становлять загрозу міжнародного характеру. При цьому механізм співпраці і елементи контролю, як правило, мають велику ступінь конкретності і деталізації.</w:t>
      </w:r>
    </w:p>
    <w:p w:rsidR="000404E2" w:rsidRPr="000404E2" w:rsidRDefault="000404E2" w:rsidP="000404E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0404E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Європейські регіональні (субрегіональні) організації в Європі, особливо західній її частині, мають багатий досвід міждержавної взаємодії у рамках боротьби зі злочинністю, що пояснюється історично сформованим процесом економічної і політичної інтеграції. Проблема боротьби зі </w:t>
      </w:r>
      <w:r w:rsidRPr="000404E2">
        <w:rPr>
          <w:rFonts w:ascii="Times New Roman" w:hAnsi="Times New Roman" w:cs="Times New Roman"/>
          <w:bCs/>
          <w:sz w:val="28"/>
          <w:szCs w:val="28"/>
          <w:lang w:val="uk-UA"/>
        </w:rPr>
        <w:lastRenderedPageBreak/>
        <w:t>злочинністю розглядаються насамперед у рамках Ради Європи та трьох субрегіональних угруповань - Європейського союзу, Північної ради і Економічного союзу Бенілюкс.</w:t>
      </w:r>
    </w:p>
    <w:p w:rsidR="000404E2" w:rsidRPr="000404E2" w:rsidRDefault="000404E2" w:rsidP="000404E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0404E2" w:rsidRPr="000404E2" w:rsidRDefault="000404E2" w:rsidP="000404E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0404E2">
        <w:rPr>
          <w:rFonts w:ascii="Times New Roman" w:hAnsi="Times New Roman" w:cs="Times New Roman"/>
          <w:b/>
          <w:bCs/>
          <w:sz w:val="28"/>
          <w:szCs w:val="28"/>
          <w:lang w:val="uk-UA"/>
        </w:rPr>
        <w:t>Співробітництво в рамках Ради Європи</w:t>
      </w:r>
    </w:p>
    <w:p w:rsidR="000404E2" w:rsidRPr="000404E2" w:rsidRDefault="000404E2" w:rsidP="000404E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0404E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Рада Європи віддає пріоритет у своїй діяльності погодженням (приведенню до консенсусу) законодавчої бази його членів у різних сферах, що включаються в коло </w:t>
      </w:r>
      <w:proofErr w:type="spellStart"/>
      <w:r w:rsidRPr="000404E2">
        <w:rPr>
          <w:rFonts w:ascii="Times New Roman" w:hAnsi="Times New Roman" w:cs="Times New Roman"/>
          <w:bCs/>
          <w:sz w:val="28"/>
          <w:szCs w:val="28"/>
          <w:lang w:val="uk-UA"/>
        </w:rPr>
        <w:t>компетенцій</w:t>
      </w:r>
      <w:proofErr w:type="spellEnd"/>
      <w:r w:rsidRPr="000404E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даного органу. Ця мета виповнюється шляхом прийняття норм, що носять як рекомендаційний характер (резолюції, рекомендації, декларації), так і юридично обов'язкових для всіх членів Ради Європи (конвенції, угоди, протоколи).</w:t>
      </w:r>
    </w:p>
    <w:p w:rsidR="000404E2" w:rsidRPr="000404E2" w:rsidRDefault="000404E2" w:rsidP="000404E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0404E2">
        <w:rPr>
          <w:rFonts w:ascii="Times New Roman" w:hAnsi="Times New Roman" w:cs="Times New Roman"/>
          <w:bCs/>
          <w:sz w:val="28"/>
          <w:szCs w:val="28"/>
          <w:lang w:val="uk-UA"/>
        </w:rPr>
        <w:t>В рамках Ради Європи держави-члени взаємодіють в галузі попередження злочинності, боротьби з нею і призначення правопорушникам різних санкцій. Головна роль у зазначеній діяльності належить Європейському комітету з проблем злочинності (ЄКПТ), освіченій Комітетом міністрів Ради Європи в 1957 р для аналізу стану кримінально-правового законодавства, рівня злочинності, ефективності профілактичних заходів по боротьбі з нею та інших заходів, пов'язаних з вивченням всіх аспектів кримінально-правової системи.</w:t>
      </w:r>
    </w:p>
    <w:p w:rsidR="000404E2" w:rsidRPr="000404E2" w:rsidRDefault="000404E2" w:rsidP="000404E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0404E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У своїй діяльності ЄКПТ бере до уваги програми роботи Ради Європи, рішення Комітету міністрів і Парламентської асамблеї. При виборі фундаментальних векторів діяльності у сфері припинення вчинення злочинних діянь на майбутні роки, зокрема при розробці п'ятирічних програм роботи Ради Європи, центральну роль відіграють рішення конференцій з питань кримінальної політики, що проводяться Радою один раз на п'ять років. Наукова експертиза роботи ЄКПТ забезпечується Науковим </w:t>
      </w:r>
      <w:proofErr w:type="spellStart"/>
      <w:r w:rsidRPr="000404E2">
        <w:rPr>
          <w:rFonts w:ascii="Times New Roman" w:hAnsi="Times New Roman" w:cs="Times New Roman"/>
          <w:bCs/>
          <w:sz w:val="28"/>
          <w:szCs w:val="28"/>
          <w:lang w:val="uk-UA"/>
        </w:rPr>
        <w:t>криминологическим</w:t>
      </w:r>
      <w:proofErr w:type="spellEnd"/>
      <w:r w:rsidRPr="000404E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радою, конференціями директорів науково-дослідних кримінологічних інститутів і невеликими дослідницькими комітетами і групами експертів. З 1978 р проводяться конференції директорів органів кримінально-виконавчої системи, які представляють в Раді Європи свої держави, а з 1981 р експертне сприяння ЄКПТ надає Комітет з пенітенціарному співпраці.</w:t>
      </w:r>
    </w:p>
    <w:p w:rsidR="000404E2" w:rsidRPr="000404E2" w:rsidRDefault="000404E2" w:rsidP="000404E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0404E2">
        <w:rPr>
          <w:rFonts w:ascii="Times New Roman" w:hAnsi="Times New Roman" w:cs="Times New Roman"/>
          <w:bCs/>
          <w:sz w:val="28"/>
          <w:szCs w:val="28"/>
          <w:lang w:val="uk-UA"/>
        </w:rPr>
        <w:t>Європейський комітет з проблем злочинності провів колосальну кількість досліджень у своїй галузі, підготував більше сотні публікацій з проблем кримінального, кримінально-процесуального та кримінально-виконавчого права, а також кримінології.</w:t>
      </w:r>
    </w:p>
    <w:p w:rsidR="000404E2" w:rsidRPr="000404E2" w:rsidRDefault="000404E2" w:rsidP="000404E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0404E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Величезне значення для приведення законодавства і практики держав - членів Ради Європи у галузі боротьби зі злочинністю до єдиного знаменника стала підготовка ЄКПТ більше 20 проектів міжнародних договорів, а також більше 80 проектів резолюцій, прийнятих потім Комітетом міністрів і містять рекомендації для використання їх у цілях розвитку національної нормативно-правової бази, а також для </w:t>
      </w:r>
      <w:proofErr w:type="spellStart"/>
      <w:r w:rsidRPr="000404E2">
        <w:rPr>
          <w:rFonts w:ascii="Times New Roman" w:hAnsi="Times New Roman" w:cs="Times New Roman"/>
          <w:bCs/>
          <w:sz w:val="28"/>
          <w:szCs w:val="28"/>
          <w:lang w:val="uk-UA"/>
        </w:rPr>
        <w:t>правозастосовчої</w:t>
      </w:r>
      <w:proofErr w:type="spellEnd"/>
      <w:r w:rsidRPr="000404E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діяльності. До функцій ЄКПТ належить і забезпечення контролю за виконанням положень відповідних конвенцій Ради Європи (для цього створено спеціальний комітет експертів), а також резолюцій та рекомендацій Комітету міністрів.</w:t>
      </w:r>
    </w:p>
    <w:p w:rsidR="000404E2" w:rsidRPr="000404E2" w:rsidRDefault="000404E2" w:rsidP="000404E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0404E2">
        <w:rPr>
          <w:rFonts w:ascii="Times New Roman" w:hAnsi="Times New Roman" w:cs="Times New Roman"/>
          <w:bCs/>
          <w:sz w:val="28"/>
          <w:szCs w:val="28"/>
          <w:lang w:val="uk-UA"/>
        </w:rPr>
        <w:lastRenderedPageBreak/>
        <w:t xml:space="preserve">Зростання наркоманії в Західній Європі привів до заснування в 1971 р Групи співпраці по боротьбі зі зловживанням наркотичними засобами та незаконним обігом наркотиків, відомої більше як Група </w:t>
      </w:r>
      <w:proofErr w:type="spellStart"/>
      <w:r w:rsidRPr="000404E2">
        <w:rPr>
          <w:rFonts w:ascii="Times New Roman" w:hAnsi="Times New Roman" w:cs="Times New Roman"/>
          <w:bCs/>
          <w:sz w:val="28"/>
          <w:szCs w:val="28"/>
          <w:lang w:val="uk-UA"/>
        </w:rPr>
        <w:t>Помпіду</w:t>
      </w:r>
      <w:proofErr w:type="spellEnd"/>
      <w:r w:rsidRPr="000404E2">
        <w:rPr>
          <w:rFonts w:ascii="Times New Roman" w:hAnsi="Times New Roman" w:cs="Times New Roman"/>
          <w:bCs/>
          <w:sz w:val="28"/>
          <w:szCs w:val="28"/>
          <w:lang w:val="uk-UA"/>
        </w:rPr>
        <w:t>. Чи не метою є вирішення проблеми незаконного розповсюдження наркотичних засобів, а також консолідація сил європейських держав для плідної співпраці в даній сфері. Основний акцепт при цьому робиться на різні аспекти - медичний, юридичний, поліцейський, організаційний, виховний та ін.</w:t>
      </w:r>
    </w:p>
    <w:p w:rsidR="000404E2" w:rsidRPr="000404E2" w:rsidRDefault="000404E2" w:rsidP="000404E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0404E2">
        <w:rPr>
          <w:rFonts w:ascii="Times New Roman" w:hAnsi="Times New Roman" w:cs="Times New Roman"/>
          <w:bCs/>
          <w:sz w:val="28"/>
          <w:szCs w:val="28"/>
          <w:lang w:val="uk-UA"/>
        </w:rPr>
        <w:t>В даний час величезне значення набуває договірно-правової (конвенційний) механізм співпраці країн - членів Ради Європи у галузі боротьби зі злочинністю і звершення кримінального правосуддя.</w:t>
      </w:r>
    </w:p>
    <w:p w:rsidR="000404E2" w:rsidRPr="000404E2" w:rsidRDefault="000404E2" w:rsidP="000404E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0404E2">
        <w:rPr>
          <w:rFonts w:ascii="Times New Roman" w:hAnsi="Times New Roman" w:cs="Times New Roman"/>
          <w:bCs/>
          <w:sz w:val="28"/>
          <w:szCs w:val="28"/>
          <w:lang w:val="uk-UA"/>
        </w:rPr>
        <w:t>Існування великої кількості міжнародних договорів між країнами - членами Ради Європи, в яких містяться умови екстрадиції осіб, засуджених за вчинення злочинів, можливості надання юридичної допомоги у кримінальних справах, різних за обсягом і характером регулювання, породило необхідність в уніфікації міжнародних норм, що відносяться до даних питань і поділюваних усіма учасниками Ради Європи.</w:t>
      </w:r>
    </w:p>
    <w:p w:rsidR="000404E2" w:rsidRPr="000404E2" w:rsidRDefault="000404E2" w:rsidP="000404E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0404E2">
        <w:rPr>
          <w:rFonts w:ascii="Times New Roman" w:hAnsi="Times New Roman" w:cs="Times New Roman"/>
          <w:bCs/>
          <w:sz w:val="28"/>
          <w:szCs w:val="28"/>
          <w:lang w:val="uk-UA"/>
        </w:rPr>
        <w:t>Одним з перших питань, які торкнулося європейське співтовариство, став законодавчу прогалину в регламентації видачі іноземного громадянина (інституті екстрадиції). З метою вирішення цієї проблеми в 1957 р була укладена Європейська конвенція про видачу, а в 1959 р - Європейська конвенція про взаємну правову допомогу у кримінальних справах, регулююча в основному питання виконання запитів про провадження окремих процесуальних дій у зв'язку з кримінальним переслідуванням. Учасниками обох конвенцій є близько 30 держав.</w:t>
      </w:r>
    </w:p>
    <w:p w:rsidR="000404E2" w:rsidRPr="000404E2" w:rsidRDefault="000404E2" w:rsidP="000404E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0404E2">
        <w:rPr>
          <w:rFonts w:ascii="Times New Roman" w:hAnsi="Times New Roman" w:cs="Times New Roman"/>
          <w:bCs/>
          <w:sz w:val="28"/>
          <w:szCs w:val="28"/>
          <w:lang w:val="uk-UA"/>
        </w:rPr>
        <w:t>У зв'язку з процесами світової глобалізації, які також активно відбуваються і на Європейському континенті, збільшенням кількості приїжджих на заробітки мігрантів, в основному в економічно розвинені країни Західної Європи, урбанізацією і мобільністю населення європейських держав, а також руйнування кордонів між державами ЄС значно зросла кількість злочинів , чинених іноземними громадянами. По окремих видах злочинів частка іноземців доходить до 20-40%. У зв'язку з цим отримало розвиток такий напрям взаємодії європейських держав у кримінально-правовій сфері, як визнання і виконання рішень іноземних органів у кримінальних справах.</w:t>
      </w:r>
    </w:p>
    <w:p w:rsidR="000404E2" w:rsidRPr="000404E2" w:rsidRDefault="000404E2" w:rsidP="000404E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0404E2">
        <w:rPr>
          <w:rFonts w:ascii="Times New Roman" w:hAnsi="Times New Roman" w:cs="Times New Roman"/>
          <w:bCs/>
          <w:sz w:val="28"/>
          <w:szCs w:val="28"/>
          <w:lang w:val="uk-UA"/>
        </w:rPr>
        <w:t>У 1964 р була укладена Європейська конвенція про покарання за дорожні правопорушення, згідно з якою в державі, що є місцем скоєння кримінально караного дорожнього правопорушення, можливе самостійне кримінальне переслідування та винесення покарання злочинцю відповідно до національного законодавства, а після цього передача такого злочинця державі, з яким у нього є цивільно-правовий зв'язок, для виконання призначеного але справі покарання, або початкова передача цього злочинця іншій державі для судового процесу, винесення обвинувального вироку і відбування покарання, незалежно від того, громадянином якої держави було постраждала особа.</w:t>
      </w:r>
    </w:p>
    <w:p w:rsidR="000404E2" w:rsidRPr="000404E2" w:rsidRDefault="000404E2" w:rsidP="000404E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0404E2">
        <w:rPr>
          <w:rFonts w:ascii="Times New Roman" w:hAnsi="Times New Roman" w:cs="Times New Roman"/>
          <w:bCs/>
          <w:sz w:val="28"/>
          <w:szCs w:val="28"/>
          <w:lang w:val="uk-UA"/>
        </w:rPr>
        <w:lastRenderedPageBreak/>
        <w:t>Наступним кроком у боротьбі з дорожньо-транспортними правопорушеннями стало укладення в 1976 р в Брюсселі Європейської конвенції про міжнародні наслідки позбавлення права керування автотранспортними засобами, в якій передбачено, що рішення про позбавлення водійських прав має силу не тільки в тій державі, де воно винесено, але і в інших державах - учасницях Конвенції.</w:t>
      </w:r>
    </w:p>
    <w:p w:rsidR="000404E2" w:rsidRPr="000404E2" w:rsidRDefault="000404E2" w:rsidP="000404E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0404E2">
        <w:rPr>
          <w:rFonts w:ascii="Times New Roman" w:hAnsi="Times New Roman" w:cs="Times New Roman"/>
          <w:bCs/>
          <w:sz w:val="28"/>
          <w:szCs w:val="28"/>
          <w:lang w:val="uk-UA"/>
        </w:rPr>
        <w:t>Відповідно до положень Європейської конвенції про нагляд за умовно засудженими та умовно звільненими злочинцями від 30 листопада 1964 держава, суд якого виніс вступив в законну силу законний вирок про умовне покарання або умовно-дострокове звільнення від покарання, має право кореспондувати державі, громадянином якої є злочинець, одну з трьох обов'язків:</w:t>
      </w:r>
    </w:p>
    <w:p w:rsidR="000404E2" w:rsidRPr="000404E2" w:rsidRDefault="000404E2" w:rsidP="000404E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0404E2">
        <w:rPr>
          <w:rFonts w:ascii="Times New Roman" w:hAnsi="Times New Roman" w:cs="Times New Roman"/>
          <w:bCs/>
          <w:sz w:val="28"/>
          <w:szCs w:val="28"/>
          <w:lang w:val="uk-UA"/>
        </w:rPr>
        <w:t>- Здійснення нагляду за поведінкою засудженого;</w:t>
      </w:r>
    </w:p>
    <w:p w:rsidR="000404E2" w:rsidRPr="000404E2" w:rsidRDefault="000404E2" w:rsidP="000404E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0404E2">
        <w:rPr>
          <w:rFonts w:ascii="Times New Roman" w:hAnsi="Times New Roman" w:cs="Times New Roman"/>
          <w:bCs/>
          <w:sz w:val="28"/>
          <w:szCs w:val="28"/>
          <w:lang w:val="uk-UA"/>
        </w:rPr>
        <w:t>- Здійснення нагляду за засудженим, але при порушенні ним право-обмежень, які він зобов'язаний дотримуватися, - скасувати умовне засудження і виконати винесений вирок;</w:t>
      </w:r>
    </w:p>
    <w:p w:rsidR="000404E2" w:rsidRPr="000404E2" w:rsidRDefault="000404E2" w:rsidP="000404E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0404E2">
        <w:rPr>
          <w:rFonts w:ascii="Times New Roman" w:hAnsi="Times New Roman" w:cs="Times New Roman"/>
          <w:bCs/>
          <w:sz w:val="28"/>
          <w:szCs w:val="28"/>
          <w:lang w:val="uk-UA"/>
        </w:rPr>
        <w:t>- Здійснення нагляду, проте при невиконанні піднаглядним призначеного режиму адміністративного або іншого нагляду - самостійно винести злочинцеві вирок і виконати його на території своєї держави.</w:t>
      </w:r>
    </w:p>
    <w:p w:rsidR="000404E2" w:rsidRPr="000404E2" w:rsidRDefault="000404E2" w:rsidP="000404E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0404E2">
        <w:rPr>
          <w:rFonts w:ascii="Times New Roman" w:hAnsi="Times New Roman" w:cs="Times New Roman"/>
          <w:bCs/>
          <w:sz w:val="28"/>
          <w:szCs w:val="28"/>
          <w:lang w:val="uk-UA"/>
        </w:rPr>
        <w:t>Реалізація делегованих повноважень запитуваною державою визначається відповідно до положень зазначеної Конвенції. У ній також передбачені підстави безумовного і факультативного (можливого) відмови в проханні запитувачу державі.</w:t>
      </w:r>
    </w:p>
    <w:p w:rsidR="000404E2" w:rsidRPr="000404E2" w:rsidRDefault="000404E2" w:rsidP="000404E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0404E2">
        <w:rPr>
          <w:rFonts w:ascii="Times New Roman" w:hAnsi="Times New Roman" w:cs="Times New Roman"/>
          <w:bCs/>
          <w:sz w:val="28"/>
          <w:szCs w:val="28"/>
          <w:lang w:val="uk-UA"/>
        </w:rPr>
        <w:t>Наступним етапом в інтеграційних процесах стало прийняття 28 травня 1970 Європейської конвенції про міжнародну силі рішень у кримінальних справах. Відповідно до неї держава, громадянин якого скоїв злочин, має право при встановлених обставин привести у виконання судове рішення, винесене за результатами кримінальної справи, розгляд якого проходило в державі, де було скоєно злочин. Лежить в основі цієї Конвенції принцип визнання вироків іноземних судів застосовується для їх виконання з метою виключити можливість повторного засудження за один і той же злочин і для встановлення деяких правових наслідків факту засудження (судимість, рецидив, скасування умовного покарання і умовного звільнення).</w:t>
      </w:r>
    </w:p>
    <w:p w:rsidR="000404E2" w:rsidRPr="000404E2" w:rsidRDefault="000404E2" w:rsidP="000404E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0404E2">
        <w:rPr>
          <w:rFonts w:ascii="Times New Roman" w:hAnsi="Times New Roman" w:cs="Times New Roman"/>
          <w:bCs/>
          <w:sz w:val="28"/>
          <w:szCs w:val="28"/>
          <w:lang w:val="uk-UA"/>
        </w:rPr>
        <w:t>Складовою частиною договірно-правового механізму співпраці країн - членів Ради Європи у сфері декриміналізації є інститут передачі кримінального переслідування (екстрадиція). У 1972 р прийнята Європейська конвенція про передачу судочинства у кримінальних справах [1], в якій визначені сфери компетенції держав-учасниць, регламентовано умови передачі провадження у кримінальних справах та підстави для запиту про таку передачу.</w:t>
      </w:r>
    </w:p>
    <w:p w:rsidR="000404E2" w:rsidRPr="000404E2" w:rsidRDefault="000404E2" w:rsidP="000404E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0404E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Для пенітенціарних систем західноєвропейських країн певну проблему представляють </w:t>
      </w:r>
      <w:proofErr w:type="spellStart"/>
      <w:r w:rsidRPr="000404E2">
        <w:rPr>
          <w:rFonts w:ascii="Times New Roman" w:hAnsi="Times New Roman" w:cs="Times New Roman"/>
          <w:bCs/>
          <w:sz w:val="28"/>
          <w:szCs w:val="28"/>
          <w:lang w:val="uk-UA"/>
        </w:rPr>
        <w:t>заключення-іноземці</w:t>
      </w:r>
      <w:proofErr w:type="spellEnd"/>
      <w:r w:rsidRPr="000404E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, частка яких у загальній чисельності "тюремного" населення в деяких країнах перевищує 20% (Бельгія, Греція, Кіпр, Люксембург, Нідерланди, Франція, Швейцарія, Швеція). З метою часткового вирішення цієї проблеми в 1983 р в рамках Ради Європи укладена </w:t>
      </w:r>
      <w:r w:rsidRPr="000404E2">
        <w:rPr>
          <w:rFonts w:ascii="Times New Roman" w:hAnsi="Times New Roman" w:cs="Times New Roman"/>
          <w:bCs/>
          <w:sz w:val="28"/>
          <w:szCs w:val="28"/>
          <w:lang w:val="uk-UA"/>
        </w:rPr>
        <w:lastRenderedPageBreak/>
        <w:t>Конвенція про передачу засуджених осіб, в якій передбачена щодо спрощена процедура передачі засудженого з держави засудження в державу, вихідцем з якого він є. Ініціатива в питанні про передачу може бути виявлена як першим, так і другим державою. Важливим є положення про те, що для передачі необхідна згода засудженого.</w:t>
      </w:r>
    </w:p>
    <w:p w:rsidR="000404E2" w:rsidRPr="000404E2" w:rsidRDefault="000404E2" w:rsidP="000404E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0404E2">
        <w:rPr>
          <w:rFonts w:ascii="Times New Roman" w:hAnsi="Times New Roman" w:cs="Times New Roman"/>
          <w:bCs/>
          <w:sz w:val="28"/>
          <w:szCs w:val="28"/>
          <w:lang w:val="uk-UA"/>
        </w:rPr>
        <w:t>Велике значення надається розгляду в ЄКПТ та інших органах Ради Європи питань боротьби з окремими видами (категоріями) злочинів.</w:t>
      </w:r>
    </w:p>
    <w:p w:rsidR="000404E2" w:rsidRPr="000404E2" w:rsidRDefault="000404E2" w:rsidP="000404E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0404E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В результаті цієї роботи укладені наступні договори: Європейська угода про попередження радіомовлення зі станцій, що знаходяться поза національними територій (1965); Європейська конвенція про незастосовність строків давності до злочинів проти людяності та воєнних злочинів (1974); Європейська конвенція про боротьбу з тероризмом (1977); Європейська конвенція про контроль за придбанням та зберіганням вогнепальної зброї приватними особами (1978); Європейська конвенція про правопорушення, пов'язані з культурною власністю (1985); Європейська конвенція про запобігання насильства і хуліганського поводження глядачів під час спортивних заходів, і зокрема футбольних матчів (1985); Конвенція про відмивання, виявлення, вилучення і конфіскацію доходів від злочинної діяльності (1990); Європейська конвенція про охорону археологічної спадщини (1992); Угода Ради Європи ЕТЯ № 156 про незаконні перевезеннях по морю наркотиків і психотропних речовин, </w:t>
      </w:r>
      <w:proofErr w:type="spellStart"/>
      <w:r w:rsidRPr="000404E2">
        <w:rPr>
          <w:rFonts w:ascii="Times New Roman" w:hAnsi="Times New Roman" w:cs="Times New Roman"/>
          <w:bCs/>
          <w:sz w:val="28"/>
          <w:szCs w:val="28"/>
          <w:lang w:val="uk-UA"/>
        </w:rPr>
        <w:t>імплементує</w:t>
      </w:r>
      <w:proofErr w:type="spellEnd"/>
      <w:r w:rsidRPr="000404E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статтю 17 Конвенції ООН про боротьбу проти незаконного обігу наркотичних засобів і психотропних речовин (1995).</w:t>
      </w:r>
    </w:p>
    <w:p w:rsidR="000404E2" w:rsidRPr="000404E2" w:rsidRDefault="000404E2" w:rsidP="000404E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0404E2">
        <w:rPr>
          <w:rFonts w:ascii="Times New Roman" w:hAnsi="Times New Roman" w:cs="Times New Roman"/>
          <w:bCs/>
          <w:sz w:val="28"/>
          <w:szCs w:val="28"/>
          <w:lang w:val="uk-UA"/>
        </w:rPr>
        <w:t>Різними органами Ради Європи прийнято понад 150 актів рекомендаційного характеру, що мають безпосереднє відношення до правоохоронної діяльності.</w:t>
      </w:r>
    </w:p>
    <w:p w:rsidR="000404E2" w:rsidRPr="000404E2" w:rsidRDefault="000404E2" w:rsidP="000404E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0404E2">
        <w:rPr>
          <w:rFonts w:ascii="Times New Roman" w:hAnsi="Times New Roman" w:cs="Times New Roman"/>
          <w:bCs/>
          <w:sz w:val="28"/>
          <w:szCs w:val="28"/>
          <w:lang w:val="uk-UA"/>
        </w:rPr>
        <w:t>Серед прийнятих в рамках Ради Європи договорів, які регламентують права людини у сфері кримінального правосуддя, слід зазначити такі акти, як: Конвенція про захист прав людини та основних свобод (1950) і протокол № 6 до неї, що стосується скасування смертної кари (1983); Конвенція про захист фізичних осіб при автоматизованій обробці персональних даних (1981); Європейська конвенція про компенсацію жертвам насильницьких злочинів (1983); Європейська конвенція про запобігання катуванням чи нелюдському або такому, що принижує гідність, поводженню чи покаранню (1987).</w:t>
      </w:r>
    </w:p>
    <w:p w:rsidR="000404E2" w:rsidRPr="000404E2" w:rsidRDefault="000404E2" w:rsidP="000404E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bookmarkStart w:id="0" w:name="_GoBack"/>
      <w:bookmarkEnd w:id="0"/>
      <w:r w:rsidRPr="000404E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Класифікуючи прийняті Радою Європи нормативні правові акти, що стосуються забезпечення прав людини у сфері кримінального правосуддя, до мають рекомендаційний характер можна віднести, наприклад, резолюції (рекомендації) Комітету міністрів про виборчі, цивільних і соціальних правах в'язнів (1962); про працю в'язнів (1975); про утримання під вартою до суду (1990); про кримінальну реєстрації та реабілітації засуджених (1984); про освіту у в'язницях. Однак найбільший інтерес, на наш погляд, представляють Європейські пенітенціарні правила, що містяться в рекомендації Комітету міністрів Ради Європи від 12 лютого 1987 і які становлять другу модифікований варіант прийнятих ООН Мінімальних стандартних правил </w:t>
      </w:r>
      <w:r w:rsidRPr="000404E2">
        <w:rPr>
          <w:rFonts w:ascii="Times New Roman" w:hAnsi="Times New Roman" w:cs="Times New Roman"/>
          <w:bCs/>
          <w:sz w:val="28"/>
          <w:szCs w:val="28"/>
          <w:lang w:val="uk-UA"/>
        </w:rPr>
        <w:lastRenderedPageBreak/>
        <w:t>поводження з ув'язненими. Не можна не відзначити і схвалену 8 травня 1979 Парламентською асамблеєю Ради Європи Декларацію про поліцію - рекомендаційний документ, являє собою своєрідний кодекс професійної етики співробітників поліції держав - членів Ради Європи.</w:t>
      </w:r>
    </w:p>
    <w:sectPr w:rsidR="000404E2" w:rsidRPr="000404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04E2"/>
    <w:rsid w:val="00004C8A"/>
    <w:rsid w:val="000061F3"/>
    <w:rsid w:val="00012C89"/>
    <w:rsid w:val="00014E8B"/>
    <w:rsid w:val="0001589A"/>
    <w:rsid w:val="00016BDA"/>
    <w:rsid w:val="00025CC3"/>
    <w:rsid w:val="00027D72"/>
    <w:rsid w:val="00034F8D"/>
    <w:rsid w:val="000404E2"/>
    <w:rsid w:val="00045A3A"/>
    <w:rsid w:val="00050B4B"/>
    <w:rsid w:val="0005730E"/>
    <w:rsid w:val="0006072D"/>
    <w:rsid w:val="00061A29"/>
    <w:rsid w:val="0009126A"/>
    <w:rsid w:val="000B2C00"/>
    <w:rsid w:val="000D0E56"/>
    <w:rsid w:val="000F2014"/>
    <w:rsid w:val="0010427E"/>
    <w:rsid w:val="00111AB6"/>
    <w:rsid w:val="001136AE"/>
    <w:rsid w:val="00126318"/>
    <w:rsid w:val="00140610"/>
    <w:rsid w:val="00144CAE"/>
    <w:rsid w:val="001676EE"/>
    <w:rsid w:val="001751F5"/>
    <w:rsid w:val="00186C61"/>
    <w:rsid w:val="001957CC"/>
    <w:rsid w:val="0019723C"/>
    <w:rsid w:val="00197871"/>
    <w:rsid w:val="001A1EBB"/>
    <w:rsid w:val="001B1E64"/>
    <w:rsid w:val="001B7899"/>
    <w:rsid w:val="001C5C91"/>
    <w:rsid w:val="001D41E3"/>
    <w:rsid w:val="001E1282"/>
    <w:rsid w:val="00207A6D"/>
    <w:rsid w:val="00207D9F"/>
    <w:rsid w:val="00224ECC"/>
    <w:rsid w:val="0023674C"/>
    <w:rsid w:val="0024059C"/>
    <w:rsid w:val="002419CF"/>
    <w:rsid w:val="00252487"/>
    <w:rsid w:val="00262548"/>
    <w:rsid w:val="002705BF"/>
    <w:rsid w:val="00273AF7"/>
    <w:rsid w:val="00286B63"/>
    <w:rsid w:val="0029317B"/>
    <w:rsid w:val="002A1403"/>
    <w:rsid w:val="002A5D60"/>
    <w:rsid w:val="002A6935"/>
    <w:rsid w:val="002B5743"/>
    <w:rsid w:val="002C2A7A"/>
    <w:rsid w:val="002C7D6D"/>
    <w:rsid w:val="002D017A"/>
    <w:rsid w:val="002D4B35"/>
    <w:rsid w:val="002E3072"/>
    <w:rsid w:val="002F0BEA"/>
    <w:rsid w:val="002F4B73"/>
    <w:rsid w:val="003073EE"/>
    <w:rsid w:val="00310B13"/>
    <w:rsid w:val="00315E1A"/>
    <w:rsid w:val="00317EDC"/>
    <w:rsid w:val="00326A75"/>
    <w:rsid w:val="00334A5B"/>
    <w:rsid w:val="00343963"/>
    <w:rsid w:val="00355684"/>
    <w:rsid w:val="00360BC9"/>
    <w:rsid w:val="00364C0B"/>
    <w:rsid w:val="00366072"/>
    <w:rsid w:val="00384DAD"/>
    <w:rsid w:val="0039308B"/>
    <w:rsid w:val="003B1D4E"/>
    <w:rsid w:val="003B5FA2"/>
    <w:rsid w:val="003C0538"/>
    <w:rsid w:val="003C0FF4"/>
    <w:rsid w:val="003C4C95"/>
    <w:rsid w:val="003C5D39"/>
    <w:rsid w:val="003D1E54"/>
    <w:rsid w:val="003D3297"/>
    <w:rsid w:val="003F0E15"/>
    <w:rsid w:val="003F14B2"/>
    <w:rsid w:val="003F14C2"/>
    <w:rsid w:val="003F6F78"/>
    <w:rsid w:val="00404532"/>
    <w:rsid w:val="0043450B"/>
    <w:rsid w:val="0043481B"/>
    <w:rsid w:val="004348EB"/>
    <w:rsid w:val="00443AC2"/>
    <w:rsid w:val="00451CB8"/>
    <w:rsid w:val="0045416B"/>
    <w:rsid w:val="00465B39"/>
    <w:rsid w:val="00467FBB"/>
    <w:rsid w:val="00473D60"/>
    <w:rsid w:val="00477A20"/>
    <w:rsid w:val="00481FA1"/>
    <w:rsid w:val="00484F9B"/>
    <w:rsid w:val="00493E8E"/>
    <w:rsid w:val="004A1151"/>
    <w:rsid w:val="004C5DC7"/>
    <w:rsid w:val="004D3811"/>
    <w:rsid w:val="004E741C"/>
    <w:rsid w:val="0050130B"/>
    <w:rsid w:val="00503F64"/>
    <w:rsid w:val="00522C08"/>
    <w:rsid w:val="00525E44"/>
    <w:rsid w:val="00531F25"/>
    <w:rsid w:val="00541208"/>
    <w:rsid w:val="0055158B"/>
    <w:rsid w:val="00557434"/>
    <w:rsid w:val="0056102C"/>
    <w:rsid w:val="00563835"/>
    <w:rsid w:val="00566ADF"/>
    <w:rsid w:val="005818FF"/>
    <w:rsid w:val="00593B7D"/>
    <w:rsid w:val="005A0507"/>
    <w:rsid w:val="005A7CD1"/>
    <w:rsid w:val="005C2110"/>
    <w:rsid w:val="005D5A78"/>
    <w:rsid w:val="005D5C35"/>
    <w:rsid w:val="005E4C89"/>
    <w:rsid w:val="00605DFB"/>
    <w:rsid w:val="00610C1D"/>
    <w:rsid w:val="006173D2"/>
    <w:rsid w:val="00635050"/>
    <w:rsid w:val="0063703F"/>
    <w:rsid w:val="006531D5"/>
    <w:rsid w:val="00655A45"/>
    <w:rsid w:val="0066169D"/>
    <w:rsid w:val="0066487C"/>
    <w:rsid w:val="006655F2"/>
    <w:rsid w:val="00684022"/>
    <w:rsid w:val="00695316"/>
    <w:rsid w:val="006B28F1"/>
    <w:rsid w:val="006C7BBA"/>
    <w:rsid w:val="006E48D8"/>
    <w:rsid w:val="006E48DF"/>
    <w:rsid w:val="00703AF9"/>
    <w:rsid w:val="00706831"/>
    <w:rsid w:val="00712674"/>
    <w:rsid w:val="0072072A"/>
    <w:rsid w:val="00720F69"/>
    <w:rsid w:val="0073688F"/>
    <w:rsid w:val="007435EE"/>
    <w:rsid w:val="00745C10"/>
    <w:rsid w:val="00782997"/>
    <w:rsid w:val="0079175F"/>
    <w:rsid w:val="007A18BD"/>
    <w:rsid w:val="007A5CF5"/>
    <w:rsid w:val="007A695D"/>
    <w:rsid w:val="007B373C"/>
    <w:rsid w:val="007D1FE1"/>
    <w:rsid w:val="007E29BA"/>
    <w:rsid w:val="007E64F0"/>
    <w:rsid w:val="007F0038"/>
    <w:rsid w:val="007F2FB3"/>
    <w:rsid w:val="00802F98"/>
    <w:rsid w:val="00816DD4"/>
    <w:rsid w:val="00817260"/>
    <w:rsid w:val="00826599"/>
    <w:rsid w:val="00837626"/>
    <w:rsid w:val="0084540E"/>
    <w:rsid w:val="00845D54"/>
    <w:rsid w:val="008509A5"/>
    <w:rsid w:val="008551D2"/>
    <w:rsid w:val="00864264"/>
    <w:rsid w:val="00871397"/>
    <w:rsid w:val="00883828"/>
    <w:rsid w:val="0088664B"/>
    <w:rsid w:val="00891F28"/>
    <w:rsid w:val="008934D4"/>
    <w:rsid w:val="008A0C41"/>
    <w:rsid w:val="008A0C86"/>
    <w:rsid w:val="008A3829"/>
    <w:rsid w:val="008A54C6"/>
    <w:rsid w:val="008D1AE6"/>
    <w:rsid w:val="008D1C50"/>
    <w:rsid w:val="008D4F41"/>
    <w:rsid w:val="008D6516"/>
    <w:rsid w:val="00905BE6"/>
    <w:rsid w:val="00906126"/>
    <w:rsid w:val="009110BA"/>
    <w:rsid w:val="00911724"/>
    <w:rsid w:val="009253E9"/>
    <w:rsid w:val="00931F9F"/>
    <w:rsid w:val="00933743"/>
    <w:rsid w:val="009347A5"/>
    <w:rsid w:val="009409A7"/>
    <w:rsid w:val="00943AA2"/>
    <w:rsid w:val="00945B61"/>
    <w:rsid w:val="00945F85"/>
    <w:rsid w:val="00954D87"/>
    <w:rsid w:val="009640E1"/>
    <w:rsid w:val="00975BFF"/>
    <w:rsid w:val="009775B3"/>
    <w:rsid w:val="00992E46"/>
    <w:rsid w:val="009A1CBB"/>
    <w:rsid w:val="009A1CCA"/>
    <w:rsid w:val="009B0108"/>
    <w:rsid w:val="009B3F9F"/>
    <w:rsid w:val="009D0E84"/>
    <w:rsid w:val="009E0710"/>
    <w:rsid w:val="009E07EE"/>
    <w:rsid w:val="009E720E"/>
    <w:rsid w:val="009F3BC9"/>
    <w:rsid w:val="00A0387E"/>
    <w:rsid w:val="00A03C81"/>
    <w:rsid w:val="00A102AD"/>
    <w:rsid w:val="00A27DEF"/>
    <w:rsid w:val="00A3343B"/>
    <w:rsid w:val="00A42655"/>
    <w:rsid w:val="00A46F81"/>
    <w:rsid w:val="00A4772C"/>
    <w:rsid w:val="00A55739"/>
    <w:rsid w:val="00A73816"/>
    <w:rsid w:val="00A77E47"/>
    <w:rsid w:val="00A84D73"/>
    <w:rsid w:val="00A85C1F"/>
    <w:rsid w:val="00A938DB"/>
    <w:rsid w:val="00A93B2A"/>
    <w:rsid w:val="00A93F5A"/>
    <w:rsid w:val="00A96C10"/>
    <w:rsid w:val="00AA005C"/>
    <w:rsid w:val="00AA701E"/>
    <w:rsid w:val="00AB0426"/>
    <w:rsid w:val="00AB04F3"/>
    <w:rsid w:val="00AB583D"/>
    <w:rsid w:val="00AC1D05"/>
    <w:rsid w:val="00AC4ADA"/>
    <w:rsid w:val="00AC5B2F"/>
    <w:rsid w:val="00AD654C"/>
    <w:rsid w:val="00AD68C0"/>
    <w:rsid w:val="00AE4484"/>
    <w:rsid w:val="00AF1228"/>
    <w:rsid w:val="00AF41F0"/>
    <w:rsid w:val="00B023E7"/>
    <w:rsid w:val="00B02A39"/>
    <w:rsid w:val="00B119D3"/>
    <w:rsid w:val="00B162DD"/>
    <w:rsid w:val="00B163BC"/>
    <w:rsid w:val="00B1746A"/>
    <w:rsid w:val="00B41E1A"/>
    <w:rsid w:val="00B45FB3"/>
    <w:rsid w:val="00B507FA"/>
    <w:rsid w:val="00B52E90"/>
    <w:rsid w:val="00B548CD"/>
    <w:rsid w:val="00B615BC"/>
    <w:rsid w:val="00B8009D"/>
    <w:rsid w:val="00B80B43"/>
    <w:rsid w:val="00B86643"/>
    <w:rsid w:val="00B950A0"/>
    <w:rsid w:val="00B95793"/>
    <w:rsid w:val="00BA0BE1"/>
    <w:rsid w:val="00BA330F"/>
    <w:rsid w:val="00BB4969"/>
    <w:rsid w:val="00BC6A7B"/>
    <w:rsid w:val="00BE29D2"/>
    <w:rsid w:val="00BF3278"/>
    <w:rsid w:val="00BF37AA"/>
    <w:rsid w:val="00C16CCF"/>
    <w:rsid w:val="00C20C92"/>
    <w:rsid w:val="00C23EFE"/>
    <w:rsid w:val="00C24B98"/>
    <w:rsid w:val="00C26680"/>
    <w:rsid w:val="00C32E57"/>
    <w:rsid w:val="00C36AC6"/>
    <w:rsid w:val="00C40D16"/>
    <w:rsid w:val="00C42CA6"/>
    <w:rsid w:val="00C44B12"/>
    <w:rsid w:val="00C50FB9"/>
    <w:rsid w:val="00C54682"/>
    <w:rsid w:val="00C5492A"/>
    <w:rsid w:val="00C57755"/>
    <w:rsid w:val="00C648D5"/>
    <w:rsid w:val="00C67F45"/>
    <w:rsid w:val="00C744BA"/>
    <w:rsid w:val="00C77C4F"/>
    <w:rsid w:val="00C82C1D"/>
    <w:rsid w:val="00C917FA"/>
    <w:rsid w:val="00C958BE"/>
    <w:rsid w:val="00C9643F"/>
    <w:rsid w:val="00CB5E46"/>
    <w:rsid w:val="00CC7BC8"/>
    <w:rsid w:val="00CD0D66"/>
    <w:rsid w:val="00CE13B6"/>
    <w:rsid w:val="00CE3B29"/>
    <w:rsid w:val="00CF2AE8"/>
    <w:rsid w:val="00CF54A9"/>
    <w:rsid w:val="00D02069"/>
    <w:rsid w:val="00D11879"/>
    <w:rsid w:val="00D30435"/>
    <w:rsid w:val="00D3633C"/>
    <w:rsid w:val="00D4004D"/>
    <w:rsid w:val="00D511AD"/>
    <w:rsid w:val="00D512F2"/>
    <w:rsid w:val="00D52373"/>
    <w:rsid w:val="00D57A88"/>
    <w:rsid w:val="00D641BC"/>
    <w:rsid w:val="00D64460"/>
    <w:rsid w:val="00D67EC9"/>
    <w:rsid w:val="00D74C0A"/>
    <w:rsid w:val="00D76ED8"/>
    <w:rsid w:val="00D84C7B"/>
    <w:rsid w:val="00D91523"/>
    <w:rsid w:val="00D9729E"/>
    <w:rsid w:val="00DB7EF4"/>
    <w:rsid w:val="00DC640D"/>
    <w:rsid w:val="00DD3466"/>
    <w:rsid w:val="00DD5715"/>
    <w:rsid w:val="00DF1D9E"/>
    <w:rsid w:val="00E0085E"/>
    <w:rsid w:val="00E0263B"/>
    <w:rsid w:val="00E13223"/>
    <w:rsid w:val="00E352DD"/>
    <w:rsid w:val="00E474AC"/>
    <w:rsid w:val="00E90F93"/>
    <w:rsid w:val="00E927FE"/>
    <w:rsid w:val="00E94A5D"/>
    <w:rsid w:val="00ED5181"/>
    <w:rsid w:val="00ED5E7E"/>
    <w:rsid w:val="00EE309B"/>
    <w:rsid w:val="00EF429D"/>
    <w:rsid w:val="00EF7C6A"/>
    <w:rsid w:val="00F37D8C"/>
    <w:rsid w:val="00F55CF1"/>
    <w:rsid w:val="00F630E1"/>
    <w:rsid w:val="00F64F9A"/>
    <w:rsid w:val="00F86804"/>
    <w:rsid w:val="00F873DC"/>
    <w:rsid w:val="00F8772F"/>
    <w:rsid w:val="00FA0693"/>
    <w:rsid w:val="00FB2EB7"/>
    <w:rsid w:val="00FD279A"/>
    <w:rsid w:val="00FE0074"/>
    <w:rsid w:val="00FE0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04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04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9</Pages>
  <Words>3294</Words>
  <Characters>18781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userznu</dc:creator>
  <cp:lastModifiedBy>userznu</cp:lastModifiedBy>
  <cp:revision>1</cp:revision>
  <dcterms:created xsi:type="dcterms:W3CDTF">2020-08-31T11:15:00Z</dcterms:created>
  <dcterms:modified xsi:type="dcterms:W3CDTF">2020-08-31T11:20:00Z</dcterms:modified>
</cp:coreProperties>
</file>