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A46" w:rsidRDefault="00B71A46" w:rsidP="00B71A46">
      <w:pPr>
        <w:jc w:val="center"/>
        <w:rPr>
          <w:rFonts w:eastAsia="Calibri"/>
          <w:b/>
          <w:sz w:val="32"/>
          <w:szCs w:val="32"/>
          <w:lang w:val="uk-UA"/>
        </w:rPr>
      </w:pPr>
      <w:r>
        <w:rPr>
          <w:b/>
          <w:sz w:val="32"/>
          <w:szCs w:val="32"/>
          <w:lang w:val="uk-UA"/>
        </w:rPr>
        <w:t>Тема 4. Єдиний податок</w:t>
      </w:r>
    </w:p>
    <w:p w:rsidR="00B71A46" w:rsidRDefault="00B71A46" w:rsidP="00B71A46">
      <w:pPr>
        <w:jc w:val="center"/>
        <w:rPr>
          <w:rFonts w:eastAsia="Times New Roman"/>
          <w:szCs w:val="28"/>
          <w:lang w:val="uk-UA" w:eastAsia="ru-RU"/>
        </w:rPr>
      </w:pPr>
      <w:r>
        <w:rPr>
          <w:szCs w:val="28"/>
          <w:lang w:val="uk-UA"/>
        </w:rPr>
        <w:t>План</w:t>
      </w:r>
    </w:p>
    <w:p w:rsidR="00B71A46" w:rsidRDefault="00B71A46" w:rsidP="00B71A46">
      <w:pPr>
        <w:jc w:val="both"/>
        <w:rPr>
          <w:szCs w:val="28"/>
          <w:lang w:val="uk-UA"/>
        </w:rPr>
      </w:pPr>
      <w:r>
        <w:rPr>
          <w:szCs w:val="28"/>
          <w:lang w:val="uk-UA"/>
        </w:rPr>
        <w:t>4.1 Групи та ставки єдиного податку</w:t>
      </w:r>
    </w:p>
    <w:p w:rsidR="00B71A46" w:rsidRDefault="00B71A46" w:rsidP="00B71A46">
      <w:pPr>
        <w:jc w:val="both"/>
        <w:rPr>
          <w:szCs w:val="28"/>
          <w:lang w:val="uk-UA"/>
        </w:rPr>
      </w:pPr>
      <w:r>
        <w:rPr>
          <w:szCs w:val="28"/>
          <w:lang w:val="uk-UA"/>
        </w:rPr>
        <w:t>4.2 Звітність з єдиного податку</w:t>
      </w:r>
    </w:p>
    <w:p w:rsidR="00B71A46" w:rsidRDefault="00B71A46" w:rsidP="00B71A46">
      <w:pPr>
        <w:jc w:val="both"/>
        <w:rPr>
          <w:szCs w:val="28"/>
          <w:lang w:val="uk-UA"/>
        </w:rPr>
      </w:pPr>
    </w:p>
    <w:p w:rsidR="00B71A46" w:rsidRDefault="00B71A46" w:rsidP="00B71A46">
      <w:pPr>
        <w:jc w:val="both"/>
        <w:rPr>
          <w:b/>
          <w:szCs w:val="28"/>
          <w:lang w:val="uk-UA"/>
        </w:rPr>
      </w:pPr>
      <w:r>
        <w:rPr>
          <w:b/>
          <w:szCs w:val="28"/>
          <w:lang w:val="uk-UA"/>
        </w:rPr>
        <w:t>4.1 Групи та ставки єдиного податку</w:t>
      </w:r>
    </w:p>
    <w:p w:rsidR="00B71A46" w:rsidRDefault="00B71A46" w:rsidP="00B71A46">
      <w:pPr>
        <w:rPr>
          <w:szCs w:val="28"/>
          <w:lang w:val="uk-UA"/>
        </w:rPr>
      </w:pPr>
      <w:r>
        <w:rPr>
          <w:szCs w:val="28"/>
          <w:lang w:val="uk-UA"/>
        </w:rPr>
        <w:t>Таблиця 4.1 – Групи та ставки єдиного податку з 2016 року</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531"/>
        <w:gridCol w:w="5210"/>
      </w:tblGrid>
      <w:tr w:rsidR="00B71A46" w:rsidRPr="0078367D" w:rsidTr="003A3705">
        <w:tc>
          <w:tcPr>
            <w:tcW w:w="959" w:type="dxa"/>
            <w:tcBorders>
              <w:top w:val="single" w:sz="4" w:space="0" w:color="auto"/>
              <w:left w:val="single" w:sz="4" w:space="0" w:color="auto"/>
              <w:bottom w:val="single" w:sz="4" w:space="0" w:color="auto"/>
              <w:right w:val="single" w:sz="4" w:space="0" w:color="auto"/>
            </w:tcBorders>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Група</w:t>
            </w:r>
          </w:p>
        </w:tc>
        <w:tc>
          <w:tcPr>
            <w:tcW w:w="3531" w:type="dxa"/>
            <w:tcBorders>
              <w:top w:val="single" w:sz="4" w:space="0" w:color="auto"/>
              <w:left w:val="single" w:sz="4" w:space="0" w:color="auto"/>
              <w:bottom w:val="single" w:sz="4" w:space="0" w:color="auto"/>
              <w:right w:val="single" w:sz="4" w:space="0" w:color="auto"/>
            </w:tcBorders>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Умова</w:t>
            </w:r>
          </w:p>
        </w:tc>
        <w:tc>
          <w:tcPr>
            <w:tcW w:w="5210" w:type="dxa"/>
            <w:tcBorders>
              <w:top w:val="single" w:sz="4" w:space="0" w:color="auto"/>
              <w:left w:val="single" w:sz="4" w:space="0" w:color="auto"/>
              <w:bottom w:val="single" w:sz="4" w:space="0" w:color="auto"/>
              <w:right w:val="single" w:sz="4" w:space="0" w:color="auto"/>
            </w:tcBorders>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Ставка</w:t>
            </w:r>
          </w:p>
        </w:tc>
      </w:tr>
      <w:tr w:rsidR="00B71A46" w:rsidRPr="0078367D" w:rsidTr="003A3705">
        <w:tc>
          <w:tcPr>
            <w:tcW w:w="959"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1</w:t>
            </w:r>
          </w:p>
        </w:tc>
        <w:tc>
          <w:tcPr>
            <w:tcW w:w="3531"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proofErr w:type="spellStart"/>
            <w:r w:rsidRPr="0078367D">
              <w:rPr>
                <w:rFonts w:cs="Times New Roman"/>
                <w:sz w:val="24"/>
                <w:szCs w:val="24"/>
                <w:lang w:val="uk-UA"/>
              </w:rPr>
              <w:t>ФОП</w:t>
            </w:r>
            <w:proofErr w:type="spellEnd"/>
            <w:r w:rsidRPr="0078367D">
              <w:rPr>
                <w:rFonts w:cs="Times New Roman"/>
                <w:sz w:val="24"/>
                <w:szCs w:val="24"/>
                <w:lang w:val="uk-UA"/>
              </w:rPr>
              <w:t xml:space="preserve"> (мах дохід 300 тис грн., без найманих)</w:t>
            </w:r>
          </w:p>
        </w:tc>
        <w:tc>
          <w:tcPr>
            <w:tcW w:w="5210"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До 10% мінімального прожиткового рівня</w:t>
            </w:r>
          </w:p>
        </w:tc>
      </w:tr>
      <w:tr w:rsidR="00B71A46" w:rsidRPr="0078367D" w:rsidTr="003A3705">
        <w:tc>
          <w:tcPr>
            <w:tcW w:w="959"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2</w:t>
            </w:r>
          </w:p>
        </w:tc>
        <w:tc>
          <w:tcPr>
            <w:tcW w:w="3531"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proofErr w:type="spellStart"/>
            <w:r w:rsidRPr="0078367D">
              <w:rPr>
                <w:rFonts w:cs="Times New Roman"/>
                <w:sz w:val="24"/>
                <w:szCs w:val="24"/>
                <w:lang w:val="uk-UA"/>
              </w:rPr>
              <w:t>ФОП</w:t>
            </w:r>
            <w:proofErr w:type="spellEnd"/>
            <w:r w:rsidRPr="0078367D">
              <w:rPr>
                <w:rFonts w:cs="Times New Roman"/>
                <w:sz w:val="24"/>
                <w:szCs w:val="24"/>
                <w:lang w:val="uk-UA"/>
              </w:rPr>
              <w:t>  (мах. дохід  1,5 млн. грн., мах. 10 найманих співробітників)</w:t>
            </w:r>
          </w:p>
        </w:tc>
        <w:tc>
          <w:tcPr>
            <w:tcW w:w="5210"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До 20% мінімальної ЗП</w:t>
            </w:r>
          </w:p>
        </w:tc>
      </w:tr>
      <w:tr w:rsidR="00B71A46" w:rsidRPr="0078367D" w:rsidTr="003A3705">
        <w:tc>
          <w:tcPr>
            <w:tcW w:w="959"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3</w:t>
            </w:r>
          </w:p>
        </w:tc>
        <w:tc>
          <w:tcPr>
            <w:tcW w:w="3531"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proofErr w:type="spellStart"/>
            <w:r w:rsidRPr="0078367D">
              <w:rPr>
                <w:rFonts w:cs="Times New Roman"/>
                <w:sz w:val="24"/>
                <w:szCs w:val="24"/>
                <w:lang w:val="uk-UA"/>
              </w:rPr>
              <w:t>ФОП</w:t>
            </w:r>
            <w:proofErr w:type="spellEnd"/>
            <w:r w:rsidRPr="0078367D">
              <w:rPr>
                <w:rFonts w:cs="Times New Roman"/>
                <w:sz w:val="24"/>
                <w:szCs w:val="24"/>
                <w:lang w:val="uk-UA"/>
              </w:rPr>
              <w:t xml:space="preserve"> та юридичні особи </w:t>
            </w:r>
            <w:r w:rsidRPr="0078367D">
              <w:rPr>
                <w:rFonts w:cs="Times New Roman"/>
                <w:b/>
                <w:sz w:val="24"/>
                <w:szCs w:val="24"/>
                <w:lang w:val="uk-UA"/>
              </w:rPr>
              <w:t>(</w:t>
            </w:r>
            <w:r w:rsidRPr="0078367D">
              <w:rPr>
                <w:rStyle w:val="a4"/>
                <w:rFonts w:cs="Times New Roman"/>
                <w:sz w:val="24"/>
                <w:szCs w:val="24"/>
                <w:lang w:val="uk-UA"/>
              </w:rPr>
              <w:t xml:space="preserve">мах. дохід 5 </w:t>
            </w:r>
            <w:proofErr w:type="spellStart"/>
            <w:r w:rsidRPr="0078367D">
              <w:rPr>
                <w:rStyle w:val="a4"/>
                <w:rFonts w:cs="Times New Roman"/>
                <w:sz w:val="24"/>
                <w:szCs w:val="24"/>
                <w:lang w:val="uk-UA"/>
              </w:rPr>
              <w:t>млн.грн</w:t>
            </w:r>
            <w:proofErr w:type="spellEnd"/>
            <w:r w:rsidRPr="0078367D">
              <w:rPr>
                <w:rFonts w:cs="Times New Roman"/>
                <w:b/>
                <w:sz w:val="24"/>
                <w:szCs w:val="24"/>
                <w:lang w:val="uk-UA"/>
              </w:rPr>
              <w:t>,</w:t>
            </w:r>
            <w:r w:rsidRPr="0078367D">
              <w:rPr>
                <w:rFonts w:cs="Times New Roman"/>
                <w:sz w:val="24"/>
                <w:szCs w:val="24"/>
                <w:lang w:val="uk-UA"/>
              </w:rPr>
              <w:t xml:space="preserve"> кількість співробітників не обмежена)</w:t>
            </w:r>
          </w:p>
        </w:tc>
        <w:tc>
          <w:tcPr>
            <w:tcW w:w="5210"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pStyle w:val="a3"/>
              <w:spacing w:before="0" w:after="0"/>
              <w:ind w:firstLine="0"/>
              <w:jc w:val="left"/>
              <w:rPr>
                <w:rFonts w:ascii="Times New Roman" w:hAnsi="Times New Roman"/>
                <w:sz w:val="24"/>
                <w:szCs w:val="24"/>
                <w:lang w:val="uk-UA" w:eastAsia="en-US"/>
              </w:rPr>
            </w:pPr>
            <w:r w:rsidRPr="0078367D">
              <w:rPr>
                <w:rStyle w:val="a4"/>
                <w:rFonts w:ascii="Times New Roman" w:hAnsi="Times New Roman"/>
                <w:sz w:val="24"/>
                <w:szCs w:val="24"/>
                <w:lang w:val="uk-UA" w:eastAsia="en-US"/>
              </w:rPr>
              <w:t>3%</w:t>
            </w:r>
            <w:r w:rsidRPr="0078367D">
              <w:rPr>
                <w:rFonts w:ascii="Times New Roman" w:hAnsi="Times New Roman"/>
                <w:b/>
                <w:sz w:val="24"/>
                <w:szCs w:val="24"/>
                <w:lang w:val="uk-UA" w:eastAsia="en-US"/>
              </w:rPr>
              <w:t>+</w:t>
            </w:r>
            <w:r w:rsidRPr="0078367D">
              <w:rPr>
                <w:rFonts w:ascii="Times New Roman" w:hAnsi="Times New Roman"/>
                <w:sz w:val="24"/>
                <w:szCs w:val="24"/>
                <w:lang w:val="uk-UA" w:eastAsia="en-US"/>
              </w:rPr>
              <w:t>ПДВ</w:t>
            </w:r>
          </w:p>
          <w:p w:rsidR="00B71A46" w:rsidRPr="0078367D" w:rsidRDefault="00B71A46" w:rsidP="003A3705">
            <w:pPr>
              <w:spacing w:line="240" w:lineRule="auto"/>
              <w:ind w:firstLine="0"/>
              <w:rPr>
                <w:rFonts w:cs="Times New Roman"/>
                <w:sz w:val="24"/>
                <w:szCs w:val="24"/>
                <w:lang w:val="uk-UA"/>
              </w:rPr>
            </w:pPr>
            <w:r w:rsidRPr="0078367D">
              <w:rPr>
                <w:rFonts w:cs="Times New Roman"/>
                <w:sz w:val="24"/>
                <w:szCs w:val="24"/>
                <w:lang w:val="uk-UA"/>
              </w:rPr>
              <w:t>або</w:t>
            </w:r>
          </w:p>
          <w:p w:rsidR="00B71A46" w:rsidRPr="0078367D" w:rsidRDefault="00B71A46" w:rsidP="003A3705">
            <w:pPr>
              <w:spacing w:line="240" w:lineRule="auto"/>
              <w:ind w:firstLine="0"/>
              <w:rPr>
                <w:rFonts w:eastAsia="Calibri" w:cs="Times New Roman"/>
                <w:b/>
                <w:sz w:val="24"/>
                <w:szCs w:val="24"/>
                <w:lang w:val="uk-UA"/>
              </w:rPr>
            </w:pPr>
            <w:r w:rsidRPr="0078367D">
              <w:rPr>
                <w:rStyle w:val="a4"/>
                <w:rFonts w:cs="Times New Roman"/>
                <w:sz w:val="24"/>
                <w:szCs w:val="24"/>
                <w:lang w:val="uk-UA"/>
              </w:rPr>
              <w:t>5% без ПДВ</w:t>
            </w:r>
          </w:p>
        </w:tc>
      </w:tr>
      <w:tr w:rsidR="00B71A46" w:rsidRPr="0005573A" w:rsidTr="003A3705">
        <w:tc>
          <w:tcPr>
            <w:tcW w:w="959"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4</w:t>
            </w:r>
          </w:p>
        </w:tc>
        <w:tc>
          <w:tcPr>
            <w:tcW w:w="3531" w:type="dxa"/>
            <w:tcBorders>
              <w:top w:val="single" w:sz="4" w:space="0" w:color="auto"/>
              <w:left w:val="single" w:sz="4" w:space="0" w:color="auto"/>
              <w:bottom w:val="single" w:sz="4" w:space="0" w:color="auto"/>
              <w:right w:val="single" w:sz="4" w:space="0" w:color="auto"/>
            </w:tcBorders>
            <w:vAlign w:val="center"/>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 xml:space="preserve">сільськогосподарські товаровиробники (частка с/г </w:t>
            </w:r>
            <w:proofErr w:type="spellStart"/>
            <w:r w:rsidRPr="0078367D">
              <w:rPr>
                <w:rFonts w:cs="Times New Roman"/>
                <w:sz w:val="24"/>
                <w:szCs w:val="24"/>
                <w:lang w:val="uk-UA"/>
              </w:rPr>
              <w:t>товаровиробництва</w:t>
            </w:r>
            <w:proofErr w:type="spellEnd"/>
            <w:r w:rsidRPr="0078367D">
              <w:rPr>
                <w:rFonts w:cs="Times New Roman"/>
                <w:sz w:val="24"/>
                <w:szCs w:val="24"/>
                <w:lang w:val="uk-UA"/>
              </w:rPr>
              <w:t xml:space="preserve"> за попередній податковий рік ≥75 відсотків</w:t>
            </w:r>
          </w:p>
        </w:tc>
        <w:tc>
          <w:tcPr>
            <w:tcW w:w="5210" w:type="dxa"/>
            <w:tcBorders>
              <w:top w:val="single" w:sz="4" w:space="0" w:color="auto"/>
              <w:left w:val="single" w:sz="4" w:space="0" w:color="auto"/>
              <w:bottom w:val="single" w:sz="4" w:space="0" w:color="auto"/>
              <w:right w:val="single" w:sz="4" w:space="0" w:color="auto"/>
            </w:tcBorders>
            <w:hideMark/>
          </w:tcPr>
          <w:p w:rsidR="00B71A46" w:rsidRPr="0078367D" w:rsidRDefault="00B71A46" w:rsidP="003A3705">
            <w:pPr>
              <w:spacing w:line="240" w:lineRule="auto"/>
              <w:ind w:firstLine="0"/>
              <w:rPr>
                <w:rFonts w:eastAsia="Calibri" w:cs="Times New Roman"/>
                <w:sz w:val="24"/>
                <w:szCs w:val="24"/>
                <w:lang w:val="uk-UA"/>
              </w:rPr>
            </w:pPr>
            <w:r w:rsidRPr="0078367D">
              <w:rPr>
                <w:rFonts w:cs="Times New Roman"/>
                <w:sz w:val="24"/>
                <w:szCs w:val="24"/>
                <w:lang w:val="uk-UA"/>
              </w:rPr>
              <w:t>Коефіцієнт до нормативної грошової за ст. 293.</w:t>
            </w:r>
          </w:p>
          <w:p w:rsidR="00B71A46" w:rsidRPr="0078367D" w:rsidRDefault="00B71A46" w:rsidP="003A3705">
            <w:pPr>
              <w:pStyle w:val="a3"/>
              <w:spacing w:before="0" w:after="0"/>
              <w:ind w:firstLine="0"/>
              <w:jc w:val="left"/>
              <w:rPr>
                <w:rFonts w:ascii="Times New Roman" w:hAnsi="Times New Roman"/>
                <w:sz w:val="24"/>
                <w:szCs w:val="24"/>
                <w:lang w:val="uk-UA" w:eastAsia="en-US"/>
              </w:rPr>
            </w:pPr>
            <w:r w:rsidRPr="0078367D">
              <w:rPr>
                <w:rFonts w:ascii="Times New Roman" w:hAnsi="Times New Roman"/>
                <w:sz w:val="24"/>
                <w:szCs w:val="24"/>
                <w:lang w:val="uk-UA" w:eastAsia="en-US"/>
              </w:rPr>
              <w:t>Для сільськогосподарських угідь (ріллі, сіножатей, пасовищ і багаторічних насаджень)  базою оподаткування є нормативна грошова оцінка одного гектара сільськогосподарських угідь, з урахуванням коефіцієнта індексації, визначеного за станом на 1 січня 2015 року відповідно до порядку, встановленого розділом XII ПКУ.</w:t>
            </w:r>
          </w:p>
          <w:p w:rsidR="00B71A46" w:rsidRPr="0078367D" w:rsidRDefault="00B71A46" w:rsidP="003A3705">
            <w:pPr>
              <w:pStyle w:val="a3"/>
              <w:spacing w:before="0" w:after="0"/>
              <w:ind w:firstLine="0"/>
              <w:jc w:val="left"/>
              <w:rPr>
                <w:rFonts w:ascii="Times New Roman" w:hAnsi="Times New Roman"/>
                <w:sz w:val="24"/>
                <w:szCs w:val="24"/>
                <w:lang w:val="uk-UA" w:eastAsia="en-US"/>
              </w:rPr>
            </w:pPr>
            <w:r w:rsidRPr="0078367D">
              <w:rPr>
                <w:rFonts w:ascii="Times New Roman" w:hAnsi="Times New Roman"/>
                <w:sz w:val="24"/>
                <w:szCs w:val="24"/>
                <w:lang w:val="uk-UA" w:eastAsia="en-US"/>
              </w:rPr>
              <w:t>Для земель водного фонду (внутрішніх водойм, озер, ставків, водосховищ) базою оподаткування є нормативна грошова оцінка ріллі в Автономній Республіці Крим або в області, з урахуванням коефіцієнта індексації, визначеного за станом на 1 січня 2015 року відповідно до порядку, встановленого розділом XII  ПКУ (9 розділу ХХ ПКУ)</w:t>
            </w:r>
          </w:p>
        </w:tc>
      </w:tr>
    </w:tbl>
    <w:p w:rsidR="00B71A46" w:rsidRPr="0078367D" w:rsidRDefault="00B71A46" w:rsidP="00B71A46">
      <w:pPr>
        <w:spacing w:line="240" w:lineRule="auto"/>
        <w:ind w:left="360" w:firstLine="180"/>
        <w:rPr>
          <w:rFonts w:eastAsia="Calibri" w:cs="Times New Roman"/>
          <w:b/>
          <w:szCs w:val="28"/>
          <w:lang w:val="uk-UA"/>
        </w:rPr>
      </w:pPr>
    </w:p>
    <w:p w:rsidR="00B71A46" w:rsidRPr="0078367D" w:rsidRDefault="00B71A46" w:rsidP="00B71A46">
      <w:pPr>
        <w:jc w:val="both"/>
        <w:rPr>
          <w:lang w:val="uk-UA"/>
        </w:rPr>
      </w:pPr>
      <w:r w:rsidRPr="0078367D">
        <w:rPr>
          <w:lang w:val="uk-UA"/>
        </w:rPr>
        <w:t>Форма розрахунків –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B71A46" w:rsidRPr="0078367D" w:rsidRDefault="00B71A46" w:rsidP="00B71A46">
      <w:pPr>
        <w:jc w:val="both"/>
        <w:rPr>
          <w:lang w:val="uk-UA"/>
        </w:rPr>
      </w:pPr>
      <w:r w:rsidRPr="0078367D">
        <w:rPr>
          <w:lang w:val="uk-UA"/>
        </w:rPr>
        <w:t>Застосування РРО:</w:t>
      </w:r>
    </w:p>
    <w:p w:rsidR="00B71A46" w:rsidRPr="0078367D" w:rsidRDefault="00B71A46" w:rsidP="00B71A46">
      <w:pPr>
        <w:jc w:val="both"/>
        <w:rPr>
          <w:lang w:val="uk-UA"/>
        </w:rPr>
      </w:pPr>
      <w:r w:rsidRPr="0078367D">
        <w:rPr>
          <w:lang w:val="uk-UA"/>
        </w:rPr>
        <w:t>1) Юридичні особи - платники єдиного податку мають застосовувати РРО на загальних підставах.</w:t>
      </w:r>
    </w:p>
    <w:p w:rsidR="00B71A46" w:rsidRPr="0078367D" w:rsidRDefault="00B71A46" w:rsidP="00B71A46">
      <w:pPr>
        <w:jc w:val="both"/>
        <w:rPr>
          <w:lang w:val="uk-UA"/>
        </w:rPr>
      </w:pPr>
      <w:r w:rsidRPr="0078367D">
        <w:rPr>
          <w:lang w:val="uk-UA"/>
        </w:rPr>
        <w:t xml:space="preserve">2) </w:t>
      </w:r>
      <w:proofErr w:type="spellStart"/>
      <w:r w:rsidRPr="0078367D">
        <w:rPr>
          <w:lang w:val="uk-UA"/>
        </w:rPr>
        <w:t>ФОП</w:t>
      </w:r>
      <w:proofErr w:type="spellEnd"/>
      <w:r w:rsidRPr="0078367D">
        <w:rPr>
          <w:lang w:val="uk-UA"/>
        </w:rPr>
        <w:t>  - платники єдиного податку не застосовують РРО, якщо вони:</w:t>
      </w:r>
    </w:p>
    <w:p w:rsidR="00B71A46" w:rsidRPr="0078367D" w:rsidRDefault="00B71A46" w:rsidP="00B71A46">
      <w:pPr>
        <w:jc w:val="both"/>
        <w:rPr>
          <w:lang w:val="uk-UA"/>
        </w:rPr>
      </w:pPr>
      <w:r w:rsidRPr="0078367D">
        <w:rPr>
          <w:lang w:val="uk-UA"/>
        </w:rPr>
        <w:lastRenderedPageBreak/>
        <w:t>- знаходяться на першій групі платників єдиного податку;</w:t>
      </w:r>
    </w:p>
    <w:p w:rsidR="00B71A46" w:rsidRPr="0078367D" w:rsidRDefault="00B71A46" w:rsidP="00B71A46">
      <w:pPr>
        <w:jc w:val="both"/>
        <w:rPr>
          <w:lang w:val="uk-UA"/>
        </w:rPr>
      </w:pPr>
      <w:r w:rsidRPr="0078367D">
        <w:rPr>
          <w:lang w:val="uk-UA"/>
        </w:rPr>
        <w:t>- знаходяться на другій або третій групі  платників єдиного податку  та обсяг доходу протягом календарного року не перевищує 1 млн. грн.</w:t>
      </w:r>
    </w:p>
    <w:p w:rsidR="00B71A46" w:rsidRPr="0078367D" w:rsidRDefault="00B71A46" w:rsidP="00B71A46">
      <w:pPr>
        <w:jc w:val="both"/>
        <w:rPr>
          <w:lang w:val="uk-UA"/>
        </w:rPr>
      </w:pPr>
      <w:r w:rsidRPr="0078367D">
        <w:rPr>
          <w:lang w:val="uk-UA"/>
        </w:rPr>
        <w:t xml:space="preserve">Для </w:t>
      </w:r>
      <w:proofErr w:type="spellStart"/>
      <w:r w:rsidRPr="0078367D">
        <w:rPr>
          <w:lang w:val="uk-UA"/>
        </w:rPr>
        <w:t>ФОП</w:t>
      </w:r>
      <w:proofErr w:type="spellEnd"/>
      <w:r w:rsidRPr="0078367D">
        <w:rPr>
          <w:lang w:val="uk-UA"/>
        </w:rPr>
        <w:t xml:space="preserve"> обов’язковий ЄСВ за себе нараховується в розмірі 22% від суми, що визначаються такими платниками самостійно для себе, але не  більше  максимальної величини бази нарахування єдиного внеску, встановленої  Законом про ЄСВ.  При цьому сума єдиного внеску не може бути меншою за розмір мінімального страхового внеску 22% від мінімальної заробітної плати.</w:t>
      </w:r>
    </w:p>
    <w:p w:rsidR="00B71A46" w:rsidRPr="0078367D" w:rsidRDefault="00B71A46" w:rsidP="00B71A46">
      <w:pPr>
        <w:jc w:val="both"/>
        <w:rPr>
          <w:lang w:val="uk-UA"/>
        </w:rPr>
      </w:pPr>
      <w:r w:rsidRPr="0078367D">
        <w:rPr>
          <w:lang w:val="uk-UA"/>
        </w:rPr>
        <w:t>Пенсіонери за віком або інваліди, які отримують пенсію або соціальну допомогу та обрали спрощену систему оподаткування, звільняються від сплати за себе єдиного внеску.</w:t>
      </w:r>
    </w:p>
    <w:p w:rsidR="00B71A46" w:rsidRDefault="00B71A46" w:rsidP="00B71A46">
      <w:pPr>
        <w:ind w:firstLine="720"/>
        <w:jc w:val="both"/>
        <w:rPr>
          <w:iCs/>
          <w:color w:val="000000"/>
          <w:szCs w:val="28"/>
          <w:lang w:val="uk-UA"/>
        </w:rPr>
      </w:pPr>
      <w:r>
        <w:rPr>
          <w:color w:val="000000"/>
          <w:szCs w:val="28"/>
          <w:lang w:val="uk-UA"/>
        </w:rPr>
        <w:t xml:space="preserve">Кореспонденція рахунків з операцій з </w:t>
      </w:r>
      <w:r>
        <w:rPr>
          <w:iCs/>
          <w:color w:val="000000"/>
          <w:szCs w:val="28"/>
          <w:lang w:val="uk-UA"/>
        </w:rPr>
        <w:t xml:space="preserve">нарахування та сплати єдиного податку подані у </w:t>
      </w:r>
      <w:r>
        <w:rPr>
          <w:color w:val="000000"/>
          <w:szCs w:val="28"/>
          <w:lang w:val="uk-UA"/>
        </w:rPr>
        <w:t>табл. 4.2.</w:t>
      </w:r>
    </w:p>
    <w:p w:rsidR="00B71A46" w:rsidRDefault="00B71A46" w:rsidP="00B71A46">
      <w:pPr>
        <w:ind w:firstLine="720"/>
        <w:jc w:val="both"/>
        <w:rPr>
          <w:szCs w:val="28"/>
          <w:lang w:val="uk-UA"/>
        </w:rPr>
      </w:pPr>
      <w:r>
        <w:rPr>
          <w:iCs/>
          <w:color w:val="000000"/>
          <w:szCs w:val="28"/>
          <w:lang w:val="uk-UA"/>
        </w:rPr>
        <w:t xml:space="preserve">Таблиця 4.2 – </w:t>
      </w:r>
      <w:r>
        <w:rPr>
          <w:color w:val="000000"/>
          <w:szCs w:val="28"/>
          <w:lang w:val="uk-UA"/>
        </w:rPr>
        <w:t xml:space="preserve">Операції з </w:t>
      </w:r>
      <w:r>
        <w:rPr>
          <w:iCs/>
          <w:color w:val="000000"/>
          <w:szCs w:val="28"/>
          <w:lang w:val="uk-UA"/>
        </w:rPr>
        <w:t>нарахування та сплати єдиного податку</w:t>
      </w:r>
    </w:p>
    <w:tbl>
      <w:tblPr>
        <w:tblW w:w="5000" w:type="pct"/>
        <w:tblCellMar>
          <w:left w:w="40" w:type="dxa"/>
          <w:right w:w="40" w:type="dxa"/>
        </w:tblCellMar>
        <w:tblLook w:val="04A0"/>
      </w:tblPr>
      <w:tblGrid>
        <w:gridCol w:w="3400"/>
        <w:gridCol w:w="1047"/>
        <w:gridCol w:w="1259"/>
        <w:gridCol w:w="783"/>
        <w:gridCol w:w="1010"/>
        <w:gridCol w:w="1936"/>
      </w:tblGrid>
      <w:tr w:rsidR="00B71A46" w:rsidTr="003A3705">
        <w:trPr>
          <w:trHeight w:val="288"/>
          <w:tblHeader/>
        </w:trPr>
        <w:tc>
          <w:tcPr>
            <w:tcW w:w="1802" w:type="pct"/>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hd w:val="clear" w:color="auto" w:fill="FFFFFF"/>
              <w:autoSpaceDE w:val="0"/>
              <w:autoSpaceDN w:val="0"/>
              <w:adjustRightInd w:val="0"/>
              <w:spacing w:line="240" w:lineRule="auto"/>
              <w:ind w:firstLine="0"/>
              <w:rPr>
                <w:rFonts w:ascii="Arial" w:eastAsia="Times New Roman" w:hAnsi="Arial" w:cs="Times New Roman"/>
                <w:sz w:val="26"/>
                <w:szCs w:val="26"/>
                <w:lang w:val="uk-UA"/>
              </w:rPr>
            </w:pPr>
            <w:r>
              <w:rPr>
                <w:bCs/>
                <w:color w:val="000000"/>
                <w:sz w:val="26"/>
                <w:szCs w:val="26"/>
                <w:lang w:val="uk-UA"/>
              </w:rPr>
              <w:t>Зміст операцій</w:t>
            </w:r>
          </w:p>
        </w:tc>
        <w:tc>
          <w:tcPr>
            <w:tcW w:w="1221" w:type="pct"/>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hd w:val="clear" w:color="auto" w:fill="FFFFFF"/>
              <w:autoSpaceDE w:val="0"/>
              <w:autoSpaceDN w:val="0"/>
              <w:adjustRightInd w:val="0"/>
              <w:spacing w:line="240" w:lineRule="auto"/>
              <w:ind w:firstLine="0"/>
              <w:rPr>
                <w:rFonts w:eastAsia="Times New Roman" w:cs="Times New Roman"/>
                <w:bCs/>
                <w:color w:val="000000"/>
                <w:sz w:val="26"/>
                <w:szCs w:val="26"/>
                <w:lang w:val="uk-UA" w:eastAsia="uk-UA"/>
              </w:rPr>
            </w:pPr>
            <w:r>
              <w:rPr>
                <w:bCs/>
                <w:color w:val="000000"/>
                <w:sz w:val="26"/>
                <w:szCs w:val="26"/>
                <w:lang w:val="uk-UA"/>
              </w:rPr>
              <w:t>Бухгалтерський облік</w:t>
            </w:r>
          </w:p>
        </w:tc>
        <w:tc>
          <w:tcPr>
            <w:tcW w:w="950"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71A46" w:rsidRDefault="00B71A46" w:rsidP="003A3705">
            <w:pPr>
              <w:shd w:val="clear" w:color="auto" w:fill="FFFFFF"/>
              <w:autoSpaceDE w:val="0"/>
              <w:autoSpaceDN w:val="0"/>
              <w:adjustRightInd w:val="0"/>
              <w:spacing w:line="240" w:lineRule="auto"/>
              <w:ind w:firstLine="0"/>
              <w:rPr>
                <w:rFonts w:eastAsia="Times New Roman" w:cs="Times New Roman"/>
                <w:bCs/>
                <w:color w:val="000000"/>
                <w:sz w:val="26"/>
                <w:szCs w:val="26"/>
                <w:lang w:val="uk-UA"/>
              </w:rPr>
            </w:pPr>
            <w:r>
              <w:rPr>
                <w:bCs/>
                <w:color w:val="000000"/>
                <w:sz w:val="26"/>
                <w:szCs w:val="26"/>
                <w:lang w:val="uk-UA"/>
              </w:rPr>
              <w:t>Податковий</w:t>
            </w:r>
          </w:p>
          <w:p w:rsidR="00B71A46" w:rsidRDefault="00B71A46" w:rsidP="003A3705">
            <w:pPr>
              <w:shd w:val="clear" w:color="auto" w:fill="FFFFFF"/>
              <w:autoSpaceDE w:val="0"/>
              <w:autoSpaceDN w:val="0"/>
              <w:adjustRightInd w:val="0"/>
              <w:spacing w:line="240" w:lineRule="auto"/>
              <w:ind w:firstLine="0"/>
              <w:rPr>
                <w:rFonts w:eastAsia="Times New Roman" w:cs="Times New Roman"/>
                <w:bCs/>
                <w:color w:val="000000"/>
                <w:sz w:val="26"/>
                <w:szCs w:val="26"/>
                <w:lang w:val="uk-UA" w:eastAsia="uk-UA"/>
              </w:rPr>
            </w:pPr>
            <w:r>
              <w:rPr>
                <w:bCs/>
                <w:color w:val="000000"/>
                <w:sz w:val="26"/>
                <w:szCs w:val="26"/>
                <w:lang w:val="uk-UA"/>
              </w:rPr>
              <w:t>облік</w:t>
            </w:r>
          </w:p>
        </w:tc>
        <w:tc>
          <w:tcPr>
            <w:tcW w:w="102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71A46" w:rsidRDefault="00B71A46" w:rsidP="003A3705">
            <w:pPr>
              <w:shd w:val="clear" w:color="auto" w:fill="FFFFFF"/>
              <w:autoSpaceDE w:val="0"/>
              <w:autoSpaceDN w:val="0"/>
              <w:adjustRightInd w:val="0"/>
              <w:spacing w:line="240" w:lineRule="auto"/>
              <w:ind w:firstLine="0"/>
              <w:rPr>
                <w:rFonts w:eastAsia="Times New Roman" w:cs="Times New Roman"/>
                <w:bCs/>
                <w:color w:val="000000"/>
                <w:sz w:val="26"/>
                <w:szCs w:val="26"/>
                <w:lang w:val="uk-UA" w:eastAsia="uk-UA"/>
              </w:rPr>
            </w:pPr>
            <w:r>
              <w:rPr>
                <w:bCs/>
                <w:color w:val="000000"/>
                <w:sz w:val="26"/>
                <w:szCs w:val="26"/>
                <w:lang w:val="uk-UA"/>
              </w:rPr>
              <w:t>Рядок в Декларації</w:t>
            </w:r>
          </w:p>
        </w:tc>
      </w:tr>
      <w:tr w:rsidR="00B71A46" w:rsidTr="003A3705">
        <w:trPr>
          <w:trHeight w:val="288"/>
          <w:tblHead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B71A46" w:rsidRDefault="00B71A46" w:rsidP="003A3705">
            <w:pPr>
              <w:spacing w:line="240" w:lineRule="auto"/>
              <w:ind w:firstLine="0"/>
              <w:rPr>
                <w:rFonts w:ascii="Arial" w:eastAsia="Times New Roman" w:hAnsi="Arial" w:cs="Times New Roman"/>
                <w:sz w:val="26"/>
                <w:szCs w:val="26"/>
                <w:lang w:val="uk-UA"/>
              </w:rPr>
            </w:pPr>
          </w:p>
        </w:tc>
        <w:tc>
          <w:tcPr>
            <w:tcW w:w="55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hd w:val="clear" w:color="auto" w:fill="FFFFFF"/>
              <w:autoSpaceDE w:val="0"/>
              <w:autoSpaceDN w:val="0"/>
              <w:adjustRightInd w:val="0"/>
              <w:spacing w:line="240" w:lineRule="auto"/>
              <w:ind w:firstLine="0"/>
              <w:rPr>
                <w:rFonts w:ascii="Arial" w:eastAsia="Times New Roman" w:hAnsi="Arial" w:cs="Times New Roman"/>
                <w:sz w:val="26"/>
                <w:szCs w:val="26"/>
                <w:lang w:val="uk-UA"/>
              </w:rPr>
            </w:pPr>
            <w:r>
              <w:rPr>
                <w:color w:val="000000"/>
                <w:sz w:val="26"/>
                <w:szCs w:val="26"/>
                <w:lang w:val="uk-UA"/>
              </w:rPr>
              <w:t>Дебет</w:t>
            </w:r>
          </w:p>
        </w:tc>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hd w:val="clear" w:color="auto" w:fill="FFFFFF"/>
              <w:autoSpaceDE w:val="0"/>
              <w:autoSpaceDN w:val="0"/>
              <w:adjustRightInd w:val="0"/>
              <w:spacing w:line="240" w:lineRule="auto"/>
              <w:ind w:firstLine="0"/>
              <w:rPr>
                <w:rFonts w:ascii="Arial" w:eastAsia="Times New Roman" w:hAnsi="Arial" w:cs="Times New Roman"/>
                <w:sz w:val="26"/>
                <w:szCs w:val="26"/>
                <w:lang w:val="uk-UA"/>
              </w:rPr>
            </w:pPr>
            <w:r>
              <w:rPr>
                <w:bCs/>
                <w:color w:val="000000"/>
                <w:sz w:val="26"/>
                <w:szCs w:val="26"/>
                <w:lang w:val="uk-UA"/>
              </w:rPr>
              <w:t>Кредит</w:t>
            </w:r>
          </w:p>
        </w:tc>
        <w:tc>
          <w:tcPr>
            <w:tcW w:w="41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1A46" w:rsidRDefault="00B71A46" w:rsidP="003A3705">
            <w:pPr>
              <w:spacing w:line="240" w:lineRule="auto"/>
              <w:ind w:firstLine="0"/>
              <w:rPr>
                <w:rFonts w:eastAsia="Times New Roman" w:cs="Times New Roman"/>
                <w:bCs/>
                <w:color w:val="000000"/>
                <w:sz w:val="26"/>
                <w:szCs w:val="26"/>
                <w:lang w:val="uk-UA" w:eastAsia="uk-UA"/>
              </w:rPr>
            </w:pPr>
            <w:r>
              <w:rPr>
                <w:bCs/>
                <w:color w:val="000000"/>
                <w:sz w:val="26"/>
                <w:szCs w:val="26"/>
                <w:lang w:val="uk-UA"/>
              </w:rPr>
              <w:t>Доход</w:t>
            </w:r>
          </w:p>
        </w:tc>
        <w:tc>
          <w:tcPr>
            <w:tcW w:w="53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1A46" w:rsidRDefault="00B71A46" w:rsidP="003A3705">
            <w:pPr>
              <w:spacing w:line="240" w:lineRule="auto"/>
              <w:ind w:firstLine="0"/>
              <w:rPr>
                <w:rFonts w:eastAsia="Times New Roman" w:cs="Times New Roman"/>
                <w:bCs/>
                <w:color w:val="000000"/>
                <w:sz w:val="26"/>
                <w:szCs w:val="26"/>
                <w:lang w:val="uk-UA" w:eastAsia="uk-UA"/>
              </w:rPr>
            </w:pPr>
            <w:r>
              <w:rPr>
                <w:bCs/>
                <w:color w:val="000000"/>
                <w:sz w:val="26"/>
                <w:szCs w:val="26"/>
                <w:lang w:val="uk-UA"/>
              </w:rPr>
              <w:t>Витрати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rPr>
                <w:rFonts w:eastAsia="Times New Roman" w:cs="Times New Roman"/>
                <w:bCs/>
                <w:color w:val="000000"/>
                <w:sz w:val="26"/>
                <w:szCs w:val="26"/>
                <w:lang w:val="uk-UA" w:eastAsia="uk-UA"/>
              </w:rPr>
            </w:pPr>
          </w:p>
        </w:tc>
      </w:tr>
      <w:tr w:rsidR="00B71A46" w:rsidTr="003A3705">
        <w:trPr>
          <w:trHeight w:val="288"/>
          <w:tblHeader/>
        </w:trPr>
        <w:tc>
          <w:tcPr>
            <w:tcW w:w="1802" w:type="pct"/>
            <w:tcBorders>
              <w:top w:val="single" w:sz="6" w:space="0" w:color="auto"/>
              <w:left w:val="single" w:sz="6" w:space="0" w:color="auto"/>
              <w:bottom w:val="single" w:sz="6" w:space="0" w:color="auto"/>
              <w:right w:val="single" w:sz="6" w:space="0" w:color="auto"/>
            </w:tcBorders>
            <w:hideMark/>
          </w:tcPr>
          <w:p w:rsidR="00B71A46" w:rsidRDefault="00B71A46" w:rsidP="003A3705">
            <w:pPr>
              <w:spacing w:line="240" w:lineRule="auto"/>
              <w:ind w:firstLine="0"/>
              <w:rPr>
                <w:rFonts w:eastAsia="Times New Roman" w:cs="Times New Roman"/>
                <w:color w:val="000000"/>
                <w:sz w:val="26"/>
                <w:szCs w:val="26"/>
                <w:lang w:val="uk-UA" w:eastAsia="uk-UA"/>
              </w:rPr>
            </w:pPr>
            <w:proofErr w:type="spellStart"/>
            <w:r>
              <w:rPr>
                <w:color w:val="000000"/>
                <w:sz w:val="26"/>
                <w:szCs w:val="26"/>
                <w:lang w:val="uk-UA"/>
              </w:rPr>
              <w:t>Нараховано</w:t>
            </w:r>
            <w:proofErr w:type="spellEnd"/>
            <w:r>
              <w:rPr>
                <w:color w:val="000000"/>
                <w:sz w:val="26"/>
                <w:szCs w:val="26"/>
                <w:lang w:val="uk-UA"/>
              </w:rPr>
              <w:t xml:space="preserve"> єдиний податок</w:t>
            </w:r>
          </w:p>
        </w:tc>
        <w:tc>
          <w:tcPr>
            <w:tcW w:w="55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pacing w:line="240" w:lineRule="auto"/>
              <w:ind w:firstLine="0"/>
              <w:rPr>
                <w:rFonts w:eastAsia="Times New Roman" w:cs="Times New Roman"/>
                <w:color w:val="000000"/>
                <w:sz w:val="26"/>
                <w:szCs w:val="26"/>
                <w:lang w:val="uk-UA" w:eastAsia="uk-UA"/>
              </w:rPr>
            </w:pPr>
            <w:r>
              <w:rPr>
                <w:color w:val="000000"/>
                <w:sz w:val="26"/>
                <w:szCs w:val="26"/>
                <w:lang w:val="uk-UA"/>
              </w:rPr>
              <w:t>92</w:t>
            </w:r>
          </w:p>
        </w:tc>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pacing w:line="240" w:lineRule="auto"/>
              <w:ind w:firstLine="0"/>
              <w:rPr>
                <w:rFonts w:eastAsia="Times New Roman" w:cs="Times New Roman"/>
                <w:color w:val="000000"/>
                <w:sz w:val="26"/>
                <w:szCs w:val="26"/>
                <w:lang w:val="uk-UA" w:eastAsia="uk-UA"/>
              </w:rPr>
            </w:pPr>
            <w:r>
              <w:rPr>
                <w:color w:val="000000"/>
                <w:sz w:val="26"/>
                <w:szCs w:val="26"/>
                <w:lang w:val="uk-UA"/>
              </w:rPr>
              <w:t>641</w:t>
            </w:r>
          </w:p>
        </w:tc>
        <w:tc>
          <w:tcPr>
            <w:tcW w:w="415" w:type="pct"/>
            <w:tcBorders>
              <w:top w:val="nil"/>
              <w:left w:val="single" w:sz="4" w:space="0" w:color="auto"/>
              <w:bottom w:val="single" w:sz="4" w:space="0" w:color="auto"/>
              <w:right w:val="single" w:sz="4" w:space="0" w:color="auto"/>
            </w:tcBorders>
            <w:shd w:val="clear" w:color="auto" w:fill="FFFFFF"/>
            <w:vAlign w:val="center"/>
          </w:tcPr>
          <w:p w:rsidR="00B71A46" w:rsidRDefault="00B71A46" w:rsidP="003A3705">
            <w:pPr>
              <w:spacing w:line="240" w:lineRule="auto"/>
              <w:ind w:firstLine="0"/>
              <w:rPr>
                <w:rFonts w:eastAsia="Times New Roman" w:cs="Times New Roman"/>
                <w:bCs/>
                <w:color w:val="000000"/>
                <w:sz w:val="26"/>
                <w:szCs w:val="26"/>
                <w:lang w:val="uk-UA" w:eastAsia="uk-UA"/>
              </w:rPr>
            </w:pPr>
          </w:p>
        </w:tc>
        <w:tc>
          <w:tcPr>
            <w:tcW w:w="535" w:type="pct"/>
            <w:tcBorders>
              <w:top w:val="nil"/>
              <w:left w:val="single" w:sz="4" w:space="0" w:color="auto"/>
              <w:bottom w:val="single" w:sz="4" w:space="0" w:color="auto"/>
              <w:right w:val="single" w:sz="4" w:space="0" w:color="auto"/>
            </w:tcBorders>
            <w:shd w:val="clear" w:color="auto" w:fill="FFFFFF"/>
            <w:vAlign w:val="center"/>
          </w:tcPr>
          <w:p w:rsidR="00B71A46" w:rsidRDefault="00B71A46" w:rsidP="003A3705">
            <w:pPr>
              <w:spacing w:line="240" w:lineRule="auto"/>
              <w:ind w:firstLine="0"/>
              <w:rPr>
                <w:rFonts w:eastAsia="Times New Roman" w:cs="Times New Roman"/>
                <w:bCs/>
                <w:color w:val="000000"/>
                <w:sz w:val="26"/>
                <w:szCs w:val="26"/>
                <w:lang w:val="uk-UA" w:eastAsia="uk-UA"/>
              </w:rPr>
            </w:pPr>
          </w:p>
        </w:tc>
        <w:tc>
          <w:tcPr>
            <w:tcW w:w="1027" w:type="pct"/>
            <w:tcBorders>
              <w:top w:val="nil"/>
              <w:left w:val="single" w:sz="4" w:space="0" w:color="auto"/>
              <w:bottom w:val="single" w:sz="4" w:space="0" w:color="auto"/>
              <w:right w:val="single" w:sz="4" w:space="0" w:color="auto"/>
            </w:tcBorders>
            <w:shd w:val="clear" w:color="auto" w:fill="FFFFFF"/>
            <w:vAlign w:val="center"/>
            <w:hideMark/>
          </w:tcPr>
          <w:p w:rsidR="00B71A46" w:rsidRDefault="00B71A46" w:rsidP="003A3705">
            <w:pPr>
              <w:spacing w:line="240" w:lineRule="auto"/>
              <w:ind w:firstLine="0"/>
              <w:rPr>
                <w:rFonts w:eastAsia="Times New Roman" w:cs="Times New Roman"/>
                <w:bCs/>
                <w:color w:val="000000"/>
                <w:sz w:val="26"/>
                <w:szCs w:val="26"/>
                <w:lang w:val="uk-UA" w:eastAsia="uk-UA"/>
              </w:rPr>
            </w:pPr>
            <w:r>
              <w:rPr>
                <w:bCs/>
                <w:color w:val="000000"/>
                <w:sz w:val="26"/>
                <w:szCs w:val="26"/>
                <w:lang w:val="uk-UA" w:eastAsia="uk-UA"/>
              </w:rPr>
              <w:t>Розрахунок</w:t>
            </w:r>
          </w:p>
        </w:tc>
      </w:tr>
      <w:tr w:rsidR="00B71A46" w:rsidTr="003A3705">
        <w:trPr>
          <w:trHeight w:val="288"/>
          <w:tblHeader/>
        </w:trPr>
        <w:tc>
          <w:tcPr>
            <w:tcW w:w="1802" w:type="pct"/>
            <w:tcBorders>
              <w:top w:val="single" w:sz="6" w:space="0" w:color="auto"/>
              <w:left w:val="single" w:sz="6" w:space="0" w:color="auto"/>
              <w:bottom w:val="single" w:sz="6" w:space="0" w:color="auto"/>
              <w:right w:val="single" w:sz="6" w:space="0" w:color="auto"/>
            </w:tcBorders>
            <w:hideMark/>
          </w:tcPr>
          <w:p w:rsidR="00B71A46" w:rsidRDefault="00B71A46" w:rsidP="003A3705">
            <w:pPr>
              <w:spacing w:line="240" w:lineRule="auto"/>
              <w:ind w:firstLine="0"/>
              <w:rPr>
                <w:rFonts w:eastAsia="Times New Roman" w:cs="Times New Roman"/>
                <w:color w:val="000000"/>
                <w:sz w:val="26"/>
                <w:szCs w:val="26"/>
                <w:lang w:val="uk-UA" w:eastAsia="uk-UA"/>
              </w:rPr>
            </w:pPr>
            <w:r>
              <w:rPr>
                <w:color w:val="000000"/>
                <w:sz w:val="26"/>
                <w:szCs w:val="26"/>
                <w:lang w:val="uk-UA"/>
              </w:rPr>
              <w:t>Перераховано суму єдиного податку</w:t>
            </w:r>
          </w:p>
        </w:tc>
        <w:tc>
          <w:tcPr>
            <w:tcW w:w="55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pacing w:line="240" w:lineRule="auto"/>
              <w:ind w:firstLine="0"/>
              <w:rPr>
                <w:rFonts w:eastAsia="Times New Roman" w:cs="Times New Roman"/>
                <w:color w:val="000000"/>
                <w:sz w:val="26"/>
                <w:szCs w:val="26"/>
                <w:lang w:val="uk-UA" w:eastAsia="uk-UA"/>
              </w:rPr>
            </w:pPr>
            <w:r>
              <w:rPr>
                <w:color w:val="000000"/>
                <w:sz w:val="26"/>
                <w:szCs w:val="26"/>
                <w:lang w:val="uk-UA"/>
              </w:rPr>
              <w:t>641</w:t>
            </w:r>
          </w:p>
        </w:tc>
        <w:tc>
          <w:tcPr>
            <w:tcW w:w="66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B71A46" w:rsidRDefault="00B71A46" w:rsidP="003A3705">
            <w:pPr>
              <w:spacing w:line="240" w:lineRule="auto"/>
              <w:ind w:firstLine="0"/>
              <w:rPr>
                <w:rFonts w:eastAsia="Times New Roman" w:cs="Times New Roman"/>
                <w:color w:val="000000"/>
                <w:sz w:val="26"/>
                <w:szCs w:val="26"/>
                <w:lang w:val="uk-UA" w:eastAsia="uk-UA"/>
              </w:rPr>
            </w:pPr>
            <w:r>
              <w:rPr>
                <w:color w:val="000000"/>
                <w:sz w:val="26"/>
                <w:szCs w:val="26"/>
                <w:lang w:val="uk-UA"/>
              </w:rPr>
              <w:t>311</w:t>
            </w:r>
          </w:p>
        </w:tc>
        <w:tc>
          <w:tcPr>
            <w:tcW w:w="415" w:type="pct"/>
            <w:tcBorders>
              <w:top w:val="nil"/>
              <w:left w:val="single" w:sz="4" w:space="0" w:color="auto"/>
              <w:bottom w:val="single" w:sz="4" w:space="0" w:color="auto"/>
              <w:right w:val="single" w:sz="4" w:space="0" w:color="auto"/>
            </w:tcBorders>
            <w:shd w:val="clear" w:color="auto" w:fill="FFFFFF"/>
            <w:vAlign w:val="center"/>
          </w:tcPr>
          <w:p w:rsidR="00B71A46" w:rsidRDefault="00B71A46" w:rsidP="003A3705">
            <w:pPr>
              <w:spacing w:line="240" w:lineRule="auto"/>
              <w:ind w:firstLine="0"/>
              <w:rPr>
                <w:rFonts w:eastAsia="Times New Roman" w:cs="Times New Roman"/>
                <w:bCs/>
                <w:color w:val="000000"/>
                <w:sz w:val="26"/>
                <w:szCs w:val="26"/>
                <w:lang w:val="uk-UA" w:eastAsia="uk-UA"/>
              </w:rPr>
            </w:pPr>
          </w:p>
        </w:tc>
        <w:tc>
          <w:tcPr>
            <w:tcW w:w="535" w:type="pct"/>
            <w:tcBorders>
              <w:top w:val="nil"/>
              <w:left w:val="single" w:sz="4" w:space="0" w:color="auto"/>
              <w:bottom w:val="single" w:sz="4" w:space="0" w:color="auto"/>
              <w:right w:val="single" w:sz="4" w:space="0" w:color="auto"/>
            </w:tcBorders>
            <w:shd w:val="clear" w:color="auto" w:fill="FFFFFF"/>
            <w:vAlign w:val="center"/>
          </w:tcPr>
          <w:p w:rsidR="00B71A46" w:rsidRDefault="00B71A46" w:rsidP="003A3705">
            <w:pPr>
              <w:spacing w:line="240" w:lineRule="auto"/>
              <w:ind w:firstLine="0"/>
              <w:rPr>
                <w:rFonts w:eastAsia="Times New Roman" w:cs="Times New Roman"/>
                <w:bCs/>
                <w:color w:val="000000"/>
                <w:sz w:val="26"/>
                <w:szCs w:val="26"/>
                <w:lang w:val="uk-UA" w:eastAsia="uk-UA"/>
              </w:rPr>
            </w:pPr>
          </w:p>
        </w:tc>
        <w:tc>
          <w:tcPr>
            <w:tcW w:w="1027" w:type="pct"/>
            <w:tcBorders>
              <w:top w:val="nil"/>
              <w:left w:val="single" w:sz="4" w:space="0" w:color="auto"/>
              <w:bottom w:val="single" w:sz="4" w:space="0" w:color="auto"/>
              <w:right w:val="single" w:sz="4" w:space="0" w:color="auto"/>
            </w:tcBorders>
            <w:shd w:val="clear" w:color="auto" w:fill="FFFFFF"/>
            <w:vAlign w:val="center"/>
          </w:tcPr>
          <w:p w:rsidR="00B71A46" w:rsidRDefault="00B71A46" w:rsidP="003A3705">
            <w:pPr>
              <w:spacing w:line="240" w:lineRule="auto"/>
              <w:ind w:firstLine="0"/>
              <w:rPr>
                <w:rFonts w:eastAsia="Times New Roman" w:cs="Times New Roman"/>
                <w:bCs/>
                <w:color w:val="000000"/>
                <w:sz w:val="26"/>
                <w:szCs w:val="26"/>
                <w:lang w:val="uk-UA" w:eastAsia="uk-UA"/>
              </w:rPr>
            </w:pPr>
          </w:p>
        </w:tc>
      </w:tr>
    </w:tbl>
    <w:p w:rsidR="00B71A46" w:rsidRDefault="00B71A46" w:rsidP="00B71A46">
      <w:pPr>
        <w:ind w:firstLine="567"/>
        <w:jc w:val="both"/>
        <w:rPr>
          <w:rFonts w:eastAsia="Times New Roman"/>
          <w:b/>
          <w:szCs w:val="28"/>
          <w:lang w:val="uk-UA"/>
        </w:rPr>
      </w:pPr>
    </w:p>
    <w:p w:rsidR="00B71A46" w:rsidRDefault="00B71A46" w:rsidP="00B71A46">
      <w:pPr>
        <w:jc w:val="both"/>
        <w:rPr>
          <w:b/>
          <w:szCs w:val="28"/>
          <w:lang w:val="uk-UA"/>
        </w:rPr>
      </w:pPr>
      <w:r>
        <w:rPr>
          <w:b/>
          <w:szCs w:val="28"/>
          <w:lang w:val="uk-UA"/>
        </w:rPr>
        <w:t>4.2 Звітність з єдиного податку</w:t>
      </w:r>
    </w:p>
    <w:p w:rsidR="00B71A46" w:rsidRDefault="00B71A46" w:rsidP="00B71A46">
      <w:pPr>
        <w:jc w:val="both"/>
        <w:rPr>
          <w:szCs w:val="28"/>
          <w:lang w:val="uk-UA"/>
        </w:rPr>
      </w:pPr>
      <w:r>
        <w:rPr>
          <w:szCs w:val="28"/>
          <w:lang w:val="uk-UA"/>
        </w:rPr>
        <w:t>Форма Податкової декларації платника єдиного податку фізичної особи-підприємця затверджена наказом Міністерства фінансів України 19.06.2015 р. № 578. Остання редакція зі змінами згідно наказу Міністерства фінансів України 17.03.2017 р. № 369.</w:t>
      </w:r>
    </w:p>
    <w:p w:rsidR="00B71A46" w:rsidRDefault="00B71A46" w:rsidP="00B71A46">
      <w:pPr>
        <w:jc w:val="both"/>
        <w:rPr>
          <w:szCs w:val="28"/>
          <w:lang w:val="uk-UA"/>
        </w:rPr>
      </w:pPr>
      <w:r>
        <w:rPr>
          <w:szCs w:val="28"/>
          <w:lang w:val="uk-UA"/>
        </w:rPr>
        <w:t>По єдиному податку: терміни подачі звітності в 2020 році по групах:</w:t>
      </w:r>
    </w:p>
    <w:p w:rsidR="00B71A46" w:rsidRDefault="00B71A46" w:rsidP="00B71A46">
      <w:pPr>
        <w:jc w:val="both"/>
        <w:rPr>
          <w:szCs w:val="28"/>
          <w:lang w:val="uk-UA"/>
        </w:rPr>
      </w:pPr>
      <w:r>
        <w:rPr>
          <w:szCs w:val="28"/>
          <w:lang w:val="uk-UA"/>
        </w:rPr>
        <w:t>1-ша група і 2-га група подає річний звіт за 2019 рік до 02 березня 2020 року включно (підстава п.296.2 та п. 49.18.3. Податкового кодексу).</w:t>
      </w:r>
    </w:p>
    <w:p w:rsidR="00B71A46" w:rsidRDefault="00B71A46" w:rsidP="00B71A46">
      <w:pPr>
        <w:jc w:val="both"/>
        <w:rPr>
          <w:szCs w:val="28"/>
          <w:lang w:val="uk-UA"/>
        </w:rPr>
      </w:pPr>
      <w:r>
        <w:rPr>
          <w:szCs w:val="28"/>
          <w:lang w:val="uk-UA"/>
        </w:rPr>
        <w:t>Надалі 1-ша і 2-га групи не подають квартальні звіти в 2020 році.</w:t>
      </w:r>
    </w:p>
    <w:p w:rsidR="00B71A46" w:rsidRDefault="00B71A46" w:rsidP="00B71A46">
      <w:pPr>
        <w:jc w:val="both"/>
        <w:rPr>
          <w:szCs w:val="28"/>
          <w:lang w:val="uk-UA"/>
        </w:rPr>
      </w:pPr>
      <w:r>
        <w:rPr>
          <w:szCs w:val="28"/>
          <w:lang w:val="uk-UA"/>
        </w:rPr>
        <w:t>3-тя група подає щоквартальні звіти (п.296.3 та п. 49.18.2. ПКУ)</w:t>
      </w:r>
    </w:p>
    <w:p w:rsidR="00B71A46" w:rsidRDefault="00B71A46" w:rsidP="00B71A46">
      <w:pPr>
        <w:jc w:val="both"/>
        <w:rPr>
          <w:szCs w:val="28"/>
          <w:lang w:val="uk-UA"/>
        </w:rPr>
      </w:pPr>
      <w:r>
        <w:rPr>
          <w:szCs w:val="28"/>
          <w:lang w:val="uk-UA"/>
        </w:rPr>
        <w:lastRenderedPageBreak/>
        <w:t>Податкова декларація платника єдиного податку – фізичної особи – підприємця подається:</w:t>
      </w:r>
    </w:p>
    <w:p w:rsidR="00B71A46" w:rsidRDefault="00B71A46" w:rsidP="00B71A46">
      <w:pPr>
        <w:jc w:val="both"/>
        <w:rPr>
          <w:szCs w:val="28"/>
          <w:lang w:val="uk-UA"/>
        </w:rPr>
      </w:pPr>
      <w:r>
        <w:rPr>
          <w:szCs w:val="28"/>
          <w:lang w:val="uk-UA"/>
        </w:rPr>
        <w:t>– для 3 групи поквартально – 40 календарних днів після звітного кварталу (п.296.3 та п. 49.18.2. ПКУ);</w:t>
      </w:r>
    </w:p>
    <w:p w:rsidR="00B71A46" w:rsidRDefault="00B71A46" w:rsidP="00B71A46">
      <w:pPr>
        <w:jc w:val="both"/>
        <w:rPr>
          <w:szCs w:val="28"/>
          <w:lang w:val="uk-UA"/>
        </w:rPr>
      </w:pPr>
      <w:r>
        <w:rPr>
          <w:szCs w:val="28"/>
          <w:lang w:val="uk-UA"/>
        </w:rPr>
        <w:t>– для 1 і 2 групи на єдиному податку – щорічно – протягом 60 календарних днів після закінчення звітного року (п.296.2 та п. 49.18.3. ПКУ).</w:t>
      </w:r>
    </w:p>
    <w:p w:rsidR="00B71A46" w:rsidRDefault="00B71A46" w:rsidP="00B71A46">
      <w:pPr>
        <w:jc w:val="both"/>
        <w:rPr>
          <w:szCs w:val="28"/>
          <w:lang w:val="uk-UA"/>
        </w:rPr>
      </w:pPr>
      <w:r>
        <w:rPr>
          <w:szCs w:val="28"/>
          <w:lang w:val="uk-UA"/>
        </w:rPr>
        <w:t xml:space="preserve">Звіти за єдиним податком можуть подаватися на паперових носіях та в електронному вигляді. Обов'язок подання звітів виключно в електронному вигляді лежить тільки на великих і середніх підприємствах (обіг від 70 млн. </w:t>
      </w:r>
      <w:proofErr w:type="spellStart"/>
      <w:r>
        <w:rPr>
          <w:szCs w:val="28"/>
          <w:lang w:val="uk-UA"/>
        </w:rPr>
        <w:t>грн</w:t>
      </w:r>
      <w:proofErr w:type="spellEnd"/>
      <w:r>
        <w:rPr>
          <w:szCs w:val="28"/>
          <w:lang w:val="uk-UA"/>
        </w:rPr>
        <w:t xml:space="preserve"> на рік) (п. 49.4 ПКУ). Звіт потрібно відправити поштою не пізніше ніж за 5 днів до граничного терміну.</w:t>
      </w:r>
    </w:p>
    <w:p w:rsidR="00B71A46" w:rsidRDefault="00B71A46" w:rsidP="00B71A46">
      <w:pPr>
        <w:jc w:val="both"/>
        <w:rPr>
          <w:szCs w:val="28"/>
          <w:lang w:val="uk-UA"/>
        </w:rPr>
      </w:pPr>
      <w:r>
        <w:rPr>
          <w:szCs w:val="28"/>
          <w:lang w:val="uk-UA"/>
        </w:rPr>
        <w:t>Способи подачі звітів по єдиному податку:</w:t>
      </w:r>
    </w:p>
    <w:p w:rsidR="00B71A46" w:rsidRDefault="00B71A46" w:rsidP="00B71A46">
      <w:pPr>
        <w:jc w:val="both"/>
        <w:rPr>
          <w:szCs w:val="28"/>
          <w:lang w:val="uk-UA"/>
        </w:rPr>
      </w:pPr>
      <w:r>
        <w:rPr>
          <w:szCs w:val="28"/>
          <w:lang w:val="uk-UA"/>
        </w:rPr>
        <w:t>а) особисто підприємцем або довіреною особою;</w:t>
      </w:r>
    </w:p>
    <w:p w:rsidR="00B71A46" w:rsidRDefault="00B71A46" w:rsidP="00B71A46">
      <w:pPr>
        <w:jc w:val="both"/>
        <w:rPr>
          <w:szCs w:val="28"/>
          <w:lang w:val="uk-UA"/>
        </w:rPr>
      </w:pPr>
      <w:r>
        <w:rPr>
          <w:szCs w:val="28"/>
          <w:lang w:val="uk-UA"/>
        </w:rPr>
        <w:t>б) надсилається поштою з повідомленням про вручення та з описом вкладення (не пізніше ніж за 5 календарних днів до закінчення граничного строку подання звітів);</w:t>
      </w:r>
    </w:p>
    <w:p w:rsidR="00B71A46" w:rsidRDefault="00B71A46" w:rsidP="00B71A46">
      <w:pPr>
        <w:jc w:val="both"/>
        <w:rPr>
          <w:szCs w:val="28"/>
          <w:lang w:val="uk-UA"/>
        </w:rPr>
      </w:pPr>
      <w:r>
        <w:rPr>
          <w:szCs w:val="28"/>
          <w:lang w:val="uk-UA"/>
        </w:rPr>
        <w:t>в) засобами електронного зв'язку в електронній формі</w:t>
      </w:r>
    </w:p>
    <w:p w:rsidR="00B71A46" w:rsidRDefault="00B71A46" w:rsidP="00B71A46">
      <w:pPr>
        <w:jc w:val="both"/>
        <w:rPr>
          <w:szCs w:val="28"/>
          <w:lang w:val="uk-UA"/>
        </w:rPr>
      </w:pPr>
      <w:r>
        <w:rPr>
          <w:szCs w:val="28"/>
          <w:lang w:val="uk-UA"/>
        </w:rPr>
        <w:t>По єдиному соціальному внеску ЄСВ подається тільки річний звіт. (п. 2 розділу ІІІ Наказу Мінфіну № 435 від 14.04.2015)</w:t>
      </w:r>
    </w:p>
    <w:p w:rsidR="00B71A46" w:rsidRDefault="00B71A46" w:rsidP="00B71A46">
      <w:pPr>
        <w:jc w:val="both"/>
        <w:rPr>
          <w:szCs w:val="28"/>
          <w:lang w:val="uk-UA"/>
        </w:rPr>
      </w:pPr>
      <w:r>
        <w:rPr>
          <w:szCs w:val="28"/>
          <w:lang w:val="uk-UA"/>
        </w:rPr>
        <w:t>Не подають звіти </w:t>
      </w:r>
      <w:proofErr w:type="spellStart"/>
      <w:r>
        <w:rPr>
          <w:szCs w:val="28"/>
          <w:lang w:val="uk-UA"/>
        </w:rPr>
        <w:t>ФОП</w:t>
      </w:r>
      <w:proofErr w:type="spellEnd"/>
      <w:r>
        <w:rPr>
          <w:szCs w:val="28"/>
          <w:lang w:val="uk-UA"/>
        </w:rPr>
        <w:t xml:space="preserve"> на єдиному податку, якщо вони є пенсіонерами за віком або інвалідами, або досягли віку, встановленого </w:t>
      </w:r>
      <w:proofErr w:type="spellStart"/>
      <w:r>
        <w:rPr>
          <w:szCs w:val="28"/>
          <w:lang w:val="uk-UA"/>
        </w:rPr>
        <w:t>ст</w:t>
      </w:r>
      <w:proofErr w:type="spellEnd"/>
      <w:r>
        <w:rPr>
          <w:szCs w:val="28"/>
          <w:lang w:val="uk-UA"/>
        </w:rPr>
        <w:t xml:space="preserve"> 26 Закону України «Про загальнообов'язкове пенсійне страхування», і отримують відповідно законом пенсію або соціальну допомогу. (п. 3 розділу ІІІ Порядку формування та подання звіту з ЄСВ. Наказ Міністерства фінансів №435 від 14.04.2015р.)</w:t>
      </w:r>
    </w:p>
    <w:p w:rsidR="00B71A46" w:rsidRDefault="00B71A46" w:rsidP="00B71A46">
      <w:pPr>
        <w:jc w:val="both"/>
        <w:rPr>
          <w:szCs w:val="28"/>
          <w:lang w:val="uk-UA"/>
        </w:rPr>
      </w:pPr>
      <w:r>
        <w:rPr>
          <w:szCs w:val="28"/>
          <w:lang w:val="uk-UA"/>
        </w:rPr>
        <w:t>Форма і способи подачі звітів по ЄСВ:</w:t>
      </w:r>
    </w:p>
    <w:p w:rsidR="00B71A46" w:rsidRDefault="00B71A46" w:rsidP="00B71A46">
      <w:pPr>
        <w:jc w:val="both"/>
        <w:rPr>
          <w:szCs w:val="28"/>
          <w:lang w:val="uk-UA"/>
        </w:rPr>
      </w:pPr>
      <w:r>
        <w:rPr>
          <w:szCs w:val="28"/>
          <w:lang w:val="uk-UA"/>
        </w:rPr>
        <w:t>1. В електронному вигляді, якщо ви маєте електронний підпис.</w:t>
      </w:r>
    </w:p>
    <w:p w:rsidR="00B71A46" w:rsidRDefault="00B71A46" w:rsidP="00B71A46">
      <w:pPr>
        <w:jc w:val="both"/>
        <w:rPr>
          <w:szCs w:val="28"/>
          <w:lang w:val="uk-UA"/>
        </w:rPr>
      </w:pPr>
      <w:r>
        <w:rPr>
          <w:szCs w:val="28"/>
          <w:lang w:val="uk-UA"/>
        </w:rPr>
        <w:t>2. На паперових носіях, якщо у вас найманих працівників не більше п'яти. Звіт подається до податкової (до фіскальної) служби особисто підприємцем або за дорученням.</w:t>
      </w:r>
    </w:p>
    <w:p w:rsidR="00B71A46" w:rsidRDefault="00B71A46" w:rsidP="00B71A46">
      <w:pPr>
        <w:jc w:val="both"/>
        <w:rPr>
          <w:szCs w:val="28"/>
          <w:lang w:val="uk-UA"/>
        </w:rPr>
      </w:pPr>
      <w:r>
        <w:rPr>
          <w:szCs w:val="28"/>
          <w:lang w:val="uk-UA"/>
        </w:rPr>
        <w:lastRenderedPageBreak/>
        <w:t xml:space="preserve">3. Якщо найманих працівників більше п'яти, то на паперовому носії та в електронному вигляді на </w:t>
      </w:r>
      <w:proofErr w:type="spellStart"/>
      <w:r>
        <w:rPr>
          <w:szCs w:val="28"/>
          <w:lang w:val="uk-UA"/>
        </w:rPr>
        <w:t>флешці</w:t>
      </w:r>
      <w:proofErr w:type="spellEnd"/>
      <w:r>
        <w:rPr>
          <w:szCs w:val="28"/>
          <w:lang w:val="uk-UA"/>
        </w:rPr>
        <w:t xml:space="preserve"> або CD / DVD. Звіт подається до податкової особисто підприємцем або за дорученням.</w:t>
      </w:r>
    </w:p>
    <w:p w:rsidR="00B71A46" w:rsidRDefault="00B71A46" w:rsidP="00B71A46">
      <w:pPr>
        <w:jc w:val="both"/>
        <w:rPr>
          <w:szCs w:val="28"/>
          <w:lang w:val="uk-UA"/>
        </w:rPr>
      </w:pPr>
      <w:r>
        <w:rPr>
          <w:szCs w:val="28"/>
          <w:lang w:val="uk-UA"/>
        </w:rPr>
        <w:t>4. Відправляється поштою з повідомленням про вручення та з описом вкладення не пізніше ніж за 10 календарних днів до закінчення граничного строку подання звітів (п. 1 розділу ІІ Наказу Мінфіну № 435 від 14.04.2015)</w:t>
      </w:r>
    </w:p>
    <w:p w:rsidR="00B71A46" w:rsidRDefault="00B71A46" w:rsidP="00B71A46">
      <w:pPr>
        <w:jc w:val="both"/>
        <w:rPr>
          <w:szCs w:val="28"/>
          <w:lang w:val="uk-UA"/>
        </w:rPr>
      </w:pPr>
      <w:r>
        <w:rPr>
          <w:szCs w:val="28"/>
          <w:lang w:val="uk-UA"/>
        </w:rPr>
        <w:t>Податкова звітність за формою 1-ДФ.</w:t>
      </w:r>
    </w:p>
    <w:p w:rsidR="00B71A46" w:rsidRDefault="00B71A46" w:rsidP="00B71A46">
      <w:pPr>
        <w:jc w:val="both"/>
        <w:rPr>
          <w:szCs w:val="28"/>
          <w:lang w:val="uk-UA"/>
        </w:rPr>
      </w:pPr>
      <w:r>
        <w:rPr>
          <w:szCs w:val="28"/>
          <w:lang w:val="uk-UA"/>
        </w:rPr>
        <w:t xml:space="preserve">Якщо приватний підприємець (СПД, ПП, </w:t>
      </w:r>
      <w:proofErr w:type="spellStart"/>
      <w:r>
        <w:rPr>
          <w:szCs w:val="28"/>
          <w:lang w:val="uk-UA"/>
        </w:rPr>
        <w:t>ФОП</w:t>
      </w:r>
      <w:proofErr w:type="spellEnd"/>
      <w:r>
        <w:rPr>
          <w:szCs w:val="28"/>
          <w:lang w:val="uk-UA"/>
        </w:rPr>
        <w:t>) здійснював оплату на користь іншої фізичної особи, в тому числі підприємця на єдиному податку, або виплачував зарплату найманим працівникам, то він зобов'язаний подати </w:t>
      </w:r>
      <w:r w:rsidRPr="00B71A46">
        <w:rPr>
          <w:szCs w:val="28"/>
          <w:lang w:val="uk-UA"/>
        </w:rPr>
        <w:t xml:space="preserve">Податковий розрахунок сум доходу, нарахованого (сплаченого) на користь платників податку, і сум утриманого з них податку за формою 1 </w:t>
      </w:r>
      <w:proofErr w:type="spellStart"/>
      <w:r w:rsidRPr="00B71A46">
        <w:rPr>
          <w:szCs w:val="28"/>
          <w:lang w:val="uk-UA"/>
        </w:rPr>
        <w:t>ДФ</w:t>
      </w:r>
      <w:proofErr w:type="spellEnd"/>
      <w:r w:rsidRPr="00B71A46">
        <w:rPr>
          <w:szCs w:val="28"/>
          <w:lang w:val="uk-UA"/>
        </w:rPr>
        <w:t>.</w:t>
      </w:r>
    </w:p>
    <w:p w:rsidR="00B71A46" w:rsidRDefault="00B71A46" w:rsidP="00B71A46">
      <w:pPr>
        <w:jc w:val="both"/>
        <w:rPr>
          <w:szCs w:val="28"/>
          <w:lang w:val="uk-UA"/>
        </w:rPr>
      </w:pPr>
      <w:r>
        <w:rPr>
          <w:szCs w:val="28"/>
          <w:lang w:val="uk-UA"/>
        </w:rPr>
        <w:t>Розрахунок подається 1 раз в квартал. Терміни подачі звітності за формою 1-ДФ – 40 календарних днів після звітного кварталу.</w:t>
      </w:r>
    </w:p>
    <w:p w:rsidR="00B71A46" w:rsidRPr="0078367D" w:rsidRDefault="00B71A46" w:rsidP="00B71A46">
      <w:pPr>
        <w:pStyle w:val="a3"/>
        <w:spacing w:before="0" w:after="0" w:line="360" w:lineRule="auto"/>
        <w:ind w:firstLine="540"/>
        <w:rPr>
          <w:rFonts w:ascii="Times New Roman" w:hAnsi="Times New Roman"/>
          <w:sz w:val="28"/>
          <w:szCs w:val="28"/>
          <w:lang w:val="uk-UA"/>
        </w:rPr>
      </w:pPr>
      <w:r w:rsidRPr="0078367D">
        <w:rPr>
          <w:rFonts w:ascii="Times New Roman" w:hAnsi="Times New Roman"/>
          <w:sz w:val="28"/>
          <w:szCs w:val="28"/>
          <w:lang w:val="uk-UA"/>
        </w:rPr>
        <w:t>Порядок заповнення податкової декларації платника єдиного податку подано в табл. 4.3; 4.4; 4.5</w:t>
      </w:r>
    </w:p>
    <w:p w:rsidR="00B71A46" w:rsidRPr="0078367D" w:rsidRDefault="00B71A46" w:rsidP="00B71A46">
      <w:pPr>
        <w:pStyle w:val="a3"/>
        <w:spacing w:before="0" w:after="0" w:line="360" w:lineRule="auto"/>
        <w:ind w:firstLine="540"/>
        <w:rPr>
          <w:rFonts w:ascii="Times New Roman" w:hAnsi="Times New Roman"/>
          <w:sz w:val="28"/>
          <w:szCs w:val="28"/>
          <w:lang w:val="uk-UA"/>
        </w:rPr>
      </w:pPr>
    </w:p>
    <w:p w:rsidR="00B71A46" w:rsidRPr="0078367D" w:rsidRDefault="00B71A46" w:rsidP="00B71A46">
      <w:pPr>
        <w:pStyle w:val="a3"/>
        <w:spacing w:before="0" w:after="0" w:line="360" w:lineRule="auto"/>
        <w:ind w:firstLine="540"/>
        <w:rPr>
          <w:rFonts w:ascii="Times New Roman" w:hAnsi="Times New Roman"/>
          <w:sz w:val="28"/>
          <w:szCs w:val="28"/>
          <w:lang w:val="uk-UA"/>
        </w:rPr>
      </w:pPr>
      <w:r w:rsidRPr="0078367D">
        <w:rPr>
          <w:rFonts w:ascii="Times New Roman" w:hAnsi="Times New Roman"/>
          <w:sz w:val="28"/>
          <w:szCs w:val="28"/>
          <w:lang w:val="uk-UA"/>
        </w:rPr>
        <w:t>Таблиця 4.3 – Порядок заповнення податкової декларації платника єдиного податку третьої групи (юридичні особи)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7"/>
        <w:gridCol w:w="6081"/>
        <w:gridCol w:w="1440"/>
        <w:gridCol w:w="1363"/>
      </w:tblGrid>
      <w:tr w:rsidR="00B71A46" w:rsidTr="003A3705">
        <w:tc>
          <w:tcPr>
            <w:tcW w:w="687" w:type="dxa"/>
            <w:vMerge w:val="restart"/>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04" w:lineRule="auto"/>
              <w:jc w:val="center"/>
              <w:rPr>
                <w:rFonts w:eastAsia="Calibri" w:cs="Times New Roman"/>
                <w:sz w:val="24"/>
                <w:szCs w:val="24"/>
                <w:lang w:val="uk-UA"/>
              </w:rPr>
            </w:pPr>
            <w:r>
              <w:rPr>
                <w:sz w:val="24"/>
                <w:szCs w:val="24"/>
                <w:lang w:val="uk-UA"/>
              </w:rPr>
              <w:t>Код</w:t>
            </w:r>
          </w:p>
        </w:tc>
        <w:tc>
          <w:tcPr>
            <w:tcW w:w="6081" w:type="dxa"/>
            <w:vMerge w:val="restart"/>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04" w:lineRule="auto"/>
              <w:jc w:val="center"/>
              <w:rPr>
                <w:rFonts w:eastAsia="Calibri" w:cs="Times New Roman"/>
                <w:sz w:val="24"/>
                <w:szCs w:val="24"/>
                <w:lang w:val="uk-UA"/>
              </w:rPr>
            </w:pPr>
            <w:r>
              <w:rPr>
                <w:sz w:val="24"/>
                <w:szCs w:val="24"/>
                <w:lang w:val="uk-UA"/>
              </w:rPr>
              <w:t>Показники</w:t>
            </w:r>
          </w:p>
        </w:tc>
        <w:tc>
          <w:tcPr>
            <w:tcW w:w="2803" w:type="dxa"/>
            <w:gridSpan w:val="2"/>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04" w:lineRule="auto"/>
              <w:jc w:val="center"/>
              <w:rPr>
                <w:rFonts w:eastAsia="Calibri" w:cs="Times New Roman"/>
                <w:sz w:val="24"/>
                <w:szCs w:val="24"/>
                <w:lang w:val="uk-UA"/>
              </w:rPr>
            </w:pPr>
            <w:r>
              <w:rPr>
                <w:sz w:val="24"/>
                <w:szCs w:val="24"/>
                <w:lang w:val="uk-UA"/>
              </w:rPr>
              <w:t>Сума доходу, що оподатковується за ставкою, грн., коп.</w:t>
            </w:r>
          </w:p>
        </w:tc>
      </w:tr>
      <w:tr w:rsidR="00B71A46" w:rsidTr="003A3705">
        <w:tc>
          <w:tcPr>
            <w:tcW w:w="687" w:type="dxa"/>
            <w:vMerge/>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rPr>
                <w:rFonts w:eastAsia="Calibri" w:cs="Times New Roman"/>
                <w:sz w:val="24"/>
                <w:szCs w:val="24"/>
                <w:lang w:val="uk-UA"/>
              </w:rPr>
            </w:pPr>
          </w:p>
        </w:tc>
        <w:tc>
          <w:tcPr>
            <w:tcW w:w="6081" w:type="dxa"/>
            <w:vMerge/>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rPr>
                <w:rFonts w:eastAsia="Calibri" w:cs="Times New Roman"/>
                <w:sz w:val="24"/>
                <w:szCs w:val="24"/>
                <w:lang w:val="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04" w:lineRule="auto"/>
              <w:jc w:val="center"/>
              <w:rPr>
                <w:rFonts w:eastAsia="Calibri" w:cs="Times New Roman"/>
                <w:sz w:val="24"/>
                <w:szCs w:val="24"/>
                <w:lang w:val="uk-UA"/>
              </w:rPr>
            </w:pPr>
            <w:r>
              <w:rPr>
                <w:sz w:val="24"/>
                <w:szCs w:val="24"/>
                <w:lang w:val="uk-UA"/>
              </w:rPr>
              <w:t>3%</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04" w:lineRule="auto"/>
              <w:jc w:val="center"/>
              <w:rPr>
                <w:rFonts w:eastAsia="Calibri" w:cs="Times New Roman"/>
                <w:sz w:val="24"/>
                <w:szCs w:val="24"/>
                <w:lang w:val="uk-UA"/>
              </w:rPr>
            </w:pPr>
            <w:r>
              <w:rPr>
                <w:sz w:val="24"/>
                <w:szCs w:val="24"/>
                <w:lang w:val="uk-UA"/>
              </w:rPr>
              <w:t>5%</w:t>
            </w:r>
          </w:p>
        </w:tc>
      </w:tr>
      <w:tr w:rsidR="00B71A46" w:rsidRPr="0005573A" w:rsidTr="003A3705">
        <w:tc>
          <w:tcPr>
            <w:tcW w:w="687"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sz w:val="24"/>
                <w:szCs w:val="24"/>
                <w:lang w:val="uk-UA"/>
              </w:rPr>
            </w:pPr>
          </w:p>
        </w:tc>
        <w:tc>
          <w:tcPr>
            <w:tcW w:w="6081"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ІІ. Дохід, що підлягає оподаткуванню</w:t>
            </w:r>
          </w:p>
        </w:tc>
        <w:tc>
          <w:tcPr>
            <w:tcW w:w="144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sz w:val="24"/>
                <w:szCs w:val="24"/>
                <w:lang w:val="uk-UA"/>
              </w:rPr>
            </w:pPr>
          </w:p>
        </w:tc>
      </w:tr>
      <w:tr w:rsidR="00B71A46" w:rsidTr="003A3705">
        <w:tc>
          <w:tcPr>
            <w:tcW w:w="687"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1</w:t>
            </w:r>
          </w:p>
        </w:tc>
        <w:tc>
          <w:tcPr>
            <w:tcW w:w="6081"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Сума доходу за податковий (звітний) період</w:t>
            </w:r>
          </w:p>
        </w:tc>
        <w:tc>
          <w:tcPr>
            <w:tcW w:w="144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r>
      <w:tr w:rsidR="00B71A46" w:rsidTr="003A3705">
        <w:tc>
          <w:tcPr>
            <w:tcW w:w="687"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5</w:t>
            </w:r>
          </w:p>
        </w:tc>
        <w:tc>
          <w:tcPr>
            <w:tcW w:w="6081"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 xml:space="preserve">Загальна сума доходу  за податковий (звітний) період </w:t>
            </w:r>
          </w:p>
        </w:tc>
        <w:tc>
          <w:tcPr>
            <w:tcW w:w="144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r>
      <w:tr w:rsidR="00B71A46" w:rsidTr="003A3705">
        <w:tc>
          <w:tcPr>
            <w:tcW w:w="687"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sz w:val="24"/>
                <w:szCs w:val="24"/>
                <w:lang w:val="uk-UA"/>
              </w:rPr>
            </w:pPr>
          </w:p>
        </w:tc>
        <w:tc>
          <w:tcPr>
            <w:tcW w:w="6081"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ІІІ. Розрахунок податкових зобов’язань з єдиного податку</w:t>
            </w:r>
          </w:p>
        </w:tc>
        <w:tc>
          <w:tcPr>
            <w:tcW w:w="144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r>
      <w:tr w:rsidR="00B71A46" w:rsidTr="003A3705">
        <w:tc>
          <w:tcPr>
            <w:tcW w:w="687"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6</w:t>
            </w:r>
          </w:p>
        </w:tc>
        <w:tc>
          <w:tcPr>
            <w:tcW w:w="6081"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Сума єдиного податку</w:t>
            </w:r>
          </w:p>
        </w:tc>
        <w:tc>
          <w:tcPr>
            <w:tcW w:w="144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r>
      <w:tr w:rsidR="00B71A46" w:rsidTr="003A3705">
        <w:tc>
          <w:tcPr>
            <w:tcW w:w="687"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8</w:t>
            </w:r>
          </w:p>
        </w:tc>
        <w:tc>
          <w:tcPr>
            <w:tcW w:w="6081"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Загальна сума єдиного податку за податковий (звітний) період</w:t>
            </w:r>
          </w:p>
        </w:tc>
        <w:tc>
          <w:tcPr>
            <w:tcW w:w="144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r>
      <w:tr w:rsidR="00B71A46" w:rsidTr="003A3705">
        <w:tc>
          <w:tcPr>
            <w:tcW w:w="687"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10</w:t>
            </w:r>
          </w:p>
        </w:tc>
        <w:tc>
          <w:tcPr>
            <w:tcW w:w="6081"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04" w:lineRule="auto"/>
              <w:jc w:val="both"/>
              <w:rPr>
                <w:rFonts w:eastAsia="Calibri" w:cs="Times New Roman"/>
                <w:sz w:val="24"/>
                <w:szCs w:val="24"/>
                <w:lang w:val="uk-UA"/>
              </w:rPr>
            </w:pPr>
            <w:r>
              <w:rPr>
                <w:sz w:val="24"/>
                <w:szCs w:val="24"/>
                <w:lang w:val="uk-UA"/>
              </w:rPr>
              <w:t>Сума єдиного податку до сплати за податковий (звітний) квартал</w:t>
            </w:r>
          </w:p>
        </w:tc>
        <w:tc>
          <w:tcPr>
            <w:tcW w:w="144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c>
          <w:tcPr>
            <w:tcW w:w="1363" w:type="dxa"/>
            <w:tcBorders>
              <w:top w:val="single" w:sz="4" w:space="0" w:color="auto"/>
              <w:left w:val="single" w:sz="4" w:space="0" w:color="auto"/>
              <w:bottom w:val="single" w:sz="4" w:space="0" w:color="auto"/>
              <w:right w:val="single" w:sz="4" w:space="0" w:color="auto"/>
            </w:tcBorders>
          </w:tcPr>
          <w:p w:rsidR="00B71A46" w:rsidRDefault="00B71A46" w:rsidP="003A3705">
            <w:pPr>
              <w:spacing w:line="204" w:lineRule="auto"/>
              <w:jc w:val="both"/>
              <w:rPr>
                <w:rFonts w:eastAsia="Calibri" w:cs="Times New Roman"/>
                <w:b/>
                <w:sz w:val="24"/>
                <w:szCs w:val="24"/>
                <w:lang w:val="uk-UA"/>
              </w:rPr>
            </w:pPr>
          </w:p>
        </w:tc>
      </w:tr>
    </w:tbl>
    <w:p w:rsidR="00B71A46" w:rsidRDefault="00B71A46" w:rsidP="00B71A46">
      <w:pPr>
        <w:rPr>
          <w:szCs w:val="28"/>
          <w:lang w:val="uk-UA"/>
        </w:rPr>
      </w:pPr>
    </w:p>
    <w:p w:rsidR="00B71A46" w:rsidRDefault="00B71A46" w:rsidP="00B71A46">
      <w:pPr>
        <w:rPr>
          <w:szCs w:val="28"/>
          <w:lang w:val="uk-UA"/>
        </w:rPr>
      </w:pPr>
    </w:p>
    <w:p w:rsidR="00B71A46" w:rsidRDefault="00B71A46" w:rsidP="00B71A46">
      <w:pPr>
        <w:rPr>
          <w:rFonts w:eastAsia="Times New Roman"/>
          <w:szCs w:val="28"/>
          <w:lang w:val="uk-UA"/>
        </w:rPr>
      </w:pPr>
    </w:p>
    <w:p w:rsidR="00B71A46" w:rsidRDefault="00B71A46" w:rsidP="00B71A46">
      <w:pPr>
        <w:rPr>
          <w:szCs w:val="28"/>
          <w:lang w:val="uk-UA"/>
        </w:rPr>
      </w:pPr>
      <w:r>
        <w:rPr>
          <w:szCs w:val="28"/>
          <w:lang w:val="uk-UA"/>
        </w:rPr>
        <w:lastRenderedPageBreak/>
        <w:t>Таблиця 4.4 – Порядок заповнення податкової декларації платника єдиного податку четвертої групи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893"/>
        <w:gridCol w:w="5210"/>
      </w:tblGrid>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center"/>
              <w:rPr>
                <w:rFonts w:eastAsia="Calibri" w:cs="Times New Roman"/>
                <w:sz w:val="24"/>
                <w:szCs w:val="24"/>
                <w:lang w:val="uk-UA"/>
              </w:rPr>
            </w:pPr>
            <w:r>
              <w:rPr>
                <w:sz w:val="24"/>
                <w:szCs w:val="24"/>
                <w:lang w:val="uk-UA"/>
              </w:rPr>
              <w:t>1</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center"/>
              <w:rPr>
                <w:rFonts w:eastAsia="Calibri" w:cs="Times New Roman"/>
                <w:sz w:val="24"/>
                <w:szCs w:val="24"/>
                <w:lang w:val="uk-UA"/>
              </w:rPr>
            </w:pPr>
            <w:r>
              <w:rPr>
                <w:sz w:val="24"/>
                <w:szCs w:val="24"/>
                <w:lang w:val="uk-UA"/>
              </w:rPr>
              <w:t>№</w:t>
            </w:r>
          </w:p>
        </w:tc>
        <w:tc>
          <w:tcPr>
            <w:tcW w:w="5210"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center"/>
              <w:rPr>
                <w:rFonts w:eastAsia="Calibri" w:cs="Times New Roman"/>
                <w:sz w:val="24"/>
                <w:szCs w:val="24"/>
                <w:lang w:val="uk-UA"/>
              </w:rPr>
            </w:pPr>
            <w:r>
              <w:rPr>
                <w:sz w:val="24"/>
                <w:szCs w:val="24"/>
                <w:lang w:val="uk-UA"/>
              </w:rPr>
              <w:t>Розрахунок</w:t>
            </w: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2</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Категорія земель</w:t>
            </w:r>
          </w:p>
        </w:tc>
        <w:tc>
          <w:tcPr>
            <w:tcW w:w="521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40" w:lineRule="auto"/>
              <w:ind w:firstLine="0"/>
              <w:jc w:val="both"/>
              <w:rPr>
                <w:rFonts w:eastAsia="Calibri" w:cs="Times New Roman"/>
                <w:sz w:val="24"/>
                <w:szCs w:val="24"/>
                <w:lang w:val="uk-UA"/>
              </w:rPr>
            </w:pP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3</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Площа земельної ділянки</w:t>
            </w:r>
            <w:r>
              <w:rPr>
                <w:sz w:val="24"/>
                <w:szCs w:val="24"/>
                <w:vertAlign w:val="superscript"/>
                <w:lang w:val="uk-UA"/>
              </w:rPr>
              <w:t>6 </w:t>
            </w:r>
          </w:p>
        </w:tc>
        <w:tc>
          <w:tcPr>
            <w:tcW w:w="521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40" w:lineRule="auto"/>
              <w:ind w:firstLine="0"/>
              <w:jc w:val="both"/>
              <w:rPr>
                <w:rFonts w:eastAsia="Calibri" w:cs="Times New Roman"/>
                <w:sz w:val="24"/>
                <w:szCs w:val="24"/>
                <w:lang w:val="uk-UA"/>
              </w:rPr>
            </w:pP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4</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Нормативна грошова оцінка одиниці площі земельної ділянки</w:t>
            </w:r>
          </w:p>
        </w:tc>
        <w:tc>
          <w:tcPr>
            <w:tcW w:w="5210" w:type="dxa"/>
            <w:tcBorders>
              <w:top w:val="single" w:sz="4" w:space="0" w:color="auto"/>
              <w:left w:val="single" w:sz="4" w:space="0" w:color="auto"/>
              <w:bottom w:val="single" w:sz="4" w:space="0" w:color="auto"/>
              <w:right w:val="single" w:sz="4" w:space="0" w:color="auto"/>
            </w:tcBorders>
          </w:tcPr>
          <w:p w:rsidR="00B71A46" w:rsidRDefault="00B71A46" w:rsidP="003A3705">
            <w:pPr>
              <w:spacing w:line="240" w:lineRule="auto"/>
              <w:ind w:firstLine="0"/>
              <w:jc w:val="both"/>
              <w:rPr>
                <w:rFonts w:eastAsia="Calibri" w:cs="Times New Roman"/>
                <w:sz w:val="24"/>
                <w:szCs w:val="24"/>
                <w:lang w:val="uk-UA"/>
              </w:rPr>
            </w:pP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5</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 xml:space="preserve">Ставка податку </w:t>
            </w:r>
          </w:p>
        </w:tc>
        <w:tc>
          <w:tcPr>
            <w:tcW w:w="5210"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 до нормативної грошової оцінки земельної ділянки)</w:t>
            </w: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6</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Річна сума податку</w:t>
            </w:r>
          </w:p>
        </w:tc>
        <w:tc>
          <w:tcPr>
            <w:tcW w:w="5210"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(к. 3 × к. 4 × к. 5 ÷100)</w:t>
            </w:r>
          </w:p>
        </w:tc>
      </w:tr>
      <w:tr w:rsidR="00B71A46" w:rsidTr="003A3705">
        <w:trPr>
          <w:trHeight w:val="359"/>
        </w:trPr>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7</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І квартал</w:t>
            </w:r>
          </w:p>
        </w:tc>
        <w:tc>
          <w:tcPr>
            <w:tcW w:w="5210" w:type="dxa"/>
            <w:vMerge w:val="restart"/>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к. 6 × 10 ÷ 100 ÷ (кількість календарних  днів у кварталі) × (кількість календарних  днів користування та/або володіння землею)</w:t>
            </w: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8</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ІІ квартал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rPr>
                <w:rFonts w:eastAsia="Calibri" w:cs="Times New Roman"/>
                <w:sz w:val="24"/>
                <w:szCs w:val="24"/>
                <w:lang w:val="uk-UA"/>
              </w:rPr>
            </w:pP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9</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ІІІ квартал</w:t>
            </w:r>
          </w:p>
        </w:tc>
        <w:tc>
          <w:tcPr>
            <w:tcW w:w="5210"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к. 6 × 50 ÷ 100 ÷ (кількість календарних днів у кварталі) × (кількість календарних днів користування та/або володіння землею)</w:t>
            </w:r>
          </w:p>
        </w:tc>
      </w:tr>
      <w:tr w:rsidR="00B71A46" w:rsidTr="003A3705">
        <w:tc>
          <w:tcPr>
            <w:tcW w:w="468"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10</w:t>
            </w:r>
          </w:p>
        </w:tc>
        <w:tc>
          <w:tcPr>
            <w:tcW w:w="3893"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IV квартал</w:t>
            </w:r>
          </w:p>
        </w:tc>
        <w:tc>
          <w:tcPr>
            <w:tcW w:w="5210" w:type="dxa"/>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к. 6 × 30 ÷ 100 ÷ (кількість календарних днів у кварталі) × (кількість календарних днів користування та/або володіння землею)</w:t>
            </w:r>
          </w:p>
        </w:tc>
      </w:tr>
      <w:tr w:rsidR="00B71A46" w:rsidTr="003A3705">
        <w:tc>
          <w:tcPr>
            <w:tcW w:w="9571" w:type="dxa"/>
            <w:gridSpan w:val="3"/>
            <w:tcBorders>
              <w:top w:val="single" w:sz="4" w:space="0" w:color="auto"/>
              <w:left w:val="single" w:sz="4" w:space="0" w:color="auto"/>
              <w:bottom w:val="single" w:sz="4" w:space="0" w:color="auto"/>
              <w:right w:val="single" w:sz="4" w:space="0" w:color="auto"/>
            </w:tcBorders>
            <w:hideMark/>
          </w:tcPr>
          <w:p w:rsidR="00B71A46" w:rsidRDefault="00B71A46" w:rsidP="003A3705">
            <w:pPr>
              <w:spacing w:line="240" w:lineRule="auto"/>
              <w:ind w:firstLine="0"/>
              <w:jc w:val="both"/>
              <w:rPr>
                <w:rFonts w:eastAsia="Calibri" w:cs="Times New Roman"/>
                <w:lang w:val="uk-UA"/>
              </w:rPr>
            </w:pPr>
            <w:r>
              <w:rPr>
                <w:lang w:val="uk-UA"/>
              </w:rPr>
              <w:t>При зміні протягом року об’єкта оподаткування, нормативної грошової оцінки земельної ділянки, ставок податку показники в колонках 7-10 заповнюються (із застосуванням формул за відповідними колонками) з дня календарного місяця, у якому починають, та/або до дня календарного місяця, у якому припиняють діяти вказані зміни.</w:t>
            </w:r>
          </w:p>
        </w:tc>
      </w:tr>
    </w:tbl>
    <w:p w:rsidR="00B71A46" w:rsidRDefault="00B71A46" w:rsidP="00B71A46">
      <w:pPr>
        <w:jc w:val="both"/>
        <w:rPr>
          <w:rFonts w:eastAsia="Times New Roman"/>
          <w:szCs w:val="28"/>
          <w:lang w:val="uk-UA"/>
        </w:rPr>
      </w:pPr>
      <w:r>
        <w:rPr>
          <w:szCs w:val="28"/>
          <w:lang w:val="uk-UA"/>
        </w:rPr>
        <w:t>Таблиця 4.5 – Терміни подання та сплати єдиного податку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1703"/>
        <w:gridCol w:w="2835"/>
        <w:gridCol w:w="3793"/>
      </w:tblGrid>
      <w:tr w:rsidR="00B71A46" w:rsidTr="003A3705">
        <w:tc>
          <w:tcPr>
            <w:tcW w:w="1240"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Групи платників єдиного податку</w:t>
            </w:r>
          </w:p>
        </w:tc>
        <w:tc>
          <w:tcPr>
            <w:tcW w:w="170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Податковий (звітний) період</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Термін подачі звітності</w:t>
            </w:r>
          </w:p>
        </w:tc>
        <w:tc>
          <w:tcPr>
            <w:tcW w:w="379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sz w:val="24"/>
                <w:szCs w:val="24"/>
                <w:lang w:val="uk-UA"/>
              </w:rPr>
            </w:pPr>
            <w:r>
              <w:rPr>
                <w:bCs/>
                <w:sz w:val="24"/>
                <w:szCs w:val="24"/>
                <w:lang w:val="uk-UA"/>
              </w:rPr>
              <w:t>Термін подачі звітності</w:t>
            </w:r>
          </w:p>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Термін сплати</w:t>
            </w:r>
          </w:p>
        </w:tc>
      </w:tr>
      <w:tr w:rsidR="00B71A46" w:rsidRPr="0005573A" w:rsidTr="003A3705">
        <w:trPr>
          <w:trHeight w:val="1681"/>
        </w:trPr>
        <w:tc>
          <w:tcPr>
            <w:tcW w:w="1240"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1 група</w:t>
            </w:r>
          </w:p>
        </w:tc>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sz w:val="24"/>
                <w:szCs w:val="24"/>
                <w:lang w:val="uk-UA"/>
              </w:rPr>
              <w:t>Календарний</w:t>
            </w:r>
            <w:r>
              <w:rPr>
                <w:rStyle w:val="apple-converted-space"/>
                <w:sz w:val="24"/>
                <w:szCs w:val="24"/>
              </w:rPr>
              <w:t> </w:t>
            </w:r>
            <w:r>
              <w:rPr>
                <w:bCs/>
                <w:sz w:val="24"/>
                <w:szCs w:val="24"/>
                <w:lang w:val="uk-UA"/>
              </w:rPr>
              <w:t>рік</w:t>
            </w:r>
          </w:p>
        </w:tc>
        <w:tc>
          <w:tcPr>
            <w:tcW w:w="2835" w:type="dxa"/>
            <w:vMerge w:val="restart"/>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both"/>
              <w:rPr>
                <w:rFonts w:eastAsia="Calibri" w:cs="Times New Roman"/>
                <w:b/>
                <w:sz w:val="24"/>
                <w:szCs w:val="24"/>
                <w:lang w:val="uk-UA"/>
              </w:rPr>
            </w:pPr>
            <w:r>
              <w:rPr>
                <w:sz w:val="24"/>
                <w:szCs w:val="24"/>
                <w:lang w:val="uk-UA"/>
              </w:rPr>
              <w:t>Протягом 60 календарних днів, що настають за останнім календарним днем звітного (податкового) року).</w:t>
            </w:r>
          </w:p>
        </w:tc>
        <w:tc>
          <w:tcPr>
            <w:tcW w:w="3793" w:type="dxa"/>
            <w:vMerge w:val="restart"/>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rPr>
                <w:rFonts w:eastAsia="Calibri" w:cs="Times New Roman"/>
                <w:sz w:val="24"/>
                <w:szCs w:val="24"/>
                <w:lang w:val="uk-UA"/>
              </w:rPr>
            </w:pPr>
            <w:r>
              <w:rPr>
                <w:sz w:val="24"/>
                <w:szCs w:val="24"/>
                <w:lang w:val="uk-UA"/>
              </w:rPr>
              <w:t>Авансовим внеском</w:t>
            </w:r>
            <w:r>
              <w:rPr>
                <w:rStyle w:val="apple-converted-space"/>
                <w:sz w:val="24"/>
                <w:szCs w:val="24"/>
              </w:rPr>
              <w:t> </w:t>
            </w:r>
            <w:r>
              <w:rPr>
                <w:bCs/>
                <w:sz w:val="24"/>
                <w:szCs w:val="24"/>
                <w:lang w:val="uk-UA"/>
              </w:rPr>
              <w:t>не пізніше 20</w:t>
            </w:r>
            <w:r>
              <w:rPr>
                <w:sz w:val="24"/>
                <w:szCs w:val="24"/>
                <w:lang w:val="uk-UA"/>
              </w:rPr>
              <w:t xml:space="preserve">числа (включно) поточного місяця. Можна сплатити ЄП за весь податковий (звітний) період (квартал, рік), але не більш як до кінця поточного звітного року. </w:t>
            </w:r>
          </w:p>
          <w:p w:rsidR="00B71A46" w:rsidRDefault="00B71A46" w:rsidP="003A3705">
            <w:pPr>
              <w:spacing w:line="240" w:lineRule="auto"/>
              <w:ind w:firstLine="0"/>
              <w:jc w:val="both"/>
              <w:rPr>
                <w:rFonts w:eastAsia="Calibri" w:cs="Times New Roman"/>
                <w:b/>
                <w:sz w:val="24"/>
                <w:szCs w:val="24"/>
                <w:lang w:val="uk-UA"/>
              </w:rPr>
            </w:pPr>
            <w:r>
              <w:rPr>
                <w:sz w:val="24"/>
                <w:szCs w:val="24"/>
                <w:lang w:val="uk-UA"/>
              </w:rPr>
              <w:t xml:space="preserve">Платники, які не використовують працю найманих осіб, </w:t>
            </w:r>
            <w:r>
              <w:rPr>
                <w:bCs/>
                <w:sz w:val="24"/>
                <w:szCs w:val="24"/>
                <w:lang w:val="uk-UA"/>
              </w:rPr>
              <w:t>звільняються від сплати ЄП</w:t>
            </w:r>
            <w:r>
              <w:rPr>
                <w:rStyle w:val="apple-converted-space"/>
                <w:bCs/>
                <w:sz w:val="24"/>
                <w:szCs w:val="24"/>
              </w:rPr>
              <w:t> </w:t>
            </w:r>
            <w:r>
              <w:rPr>
                <w:sz w:val="24"/>
                <w:szCs w:val="24"/>
                <w:lang w:val="uk-UA"/>
              </w:rPr>
              <w:t>протягом 1 календ. місяця на рік на час відпустки, а також за період хвороби, підтвердженої копією листка (листків) непрацездатності, якщо вона триває понад 30 календарних днів.</w:t>
            </w:r>
          </w:p>
        </w:tc>
      </w:tr>
      <w:tr w:rsidR="00B71A46" w:rsidTr="003A3705">
        <w:tc>
          <w:tcPr>
            <w:tcW w:w="1240"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2 група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rPr>
                <w:rFonts w:eastAsia="Calibri" w:cs="Times New Roman"/>
                <w:b/>
                <w:sz w:val="24"/>
                <w:szCs w:val="24"/>
                <w:lang w:val="uk-UA"/>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rPr>
                <w:rFonts w:eastAsia="Calibri" w:cs="Times New Roman"/>
                <w:b/>
                <w:sz w:val="24"/>
                <w:szCs w:val="24"/>
                <w:lang w:val="uk-UA"/>
              </w:rPr>
            </w:pPr>
          </w:p>
        </w:tc>
        <w:tc>
          <w:tcPr>
            <w:tcW w:w="3793" w:type="dxa"/>
            <w:vMerge/>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rPr>
                <w:rFonts w:eastAsia="Calibri" w:cs="Times New Roman"/>
                <w:b/>
                <w:sz w:val="24"/>
                <w:szCs w:val="24"/>
                <w:lang w:val="uk-UA"/>
              </w:rPr>
            </w:pPr>
          </w:p>
        </w:tc>
      </w:tr>
      <w:tr w:rsidR="00B71A46" w:rsidTr="003A3705">
        <w:tc>
          <w:tcPr>
            <w:tcW w:w="1240"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sz w:val="24"/>
                <w:szCs w:val="24"/>
                <w:lang w:val="uk-UA"/>
              </w:rPr>
            </w:pPr>
            <w:r>
              <w:rPr>
                <w:bCs/>
                <w:sz w:val="24"/>
                <w:szCs w:val="24"/>
                <w:lang w:val="uk-UA"/>
              </w:rPr>
              <w:t>3 група</w:t>
            </w:r>
          </w:p>
        </w:tc>
        <w:tc>
          <w:tcPr>
            <w:tcW w:w="170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sz w:val="24"/>
                <w:szCs w:val="24"/>
                <w:lang w:val="uk-UA"/>
              </w:rPr>
            </w:pPr>
            <w:r>
              <w:rPr>
                <w:sz w:val="24"/>
                <w:szCs w:val="24"/>
                <w:lang w:val="uk-UA"/>
              </w:rPr>
              <w:t>Календарний</w:t>
            </w:r>
            <w:r>
              <w:rPr>
                <w:rStyle w:val="apple-converted-space"/>
                <w:sz w:val="24"/>
                <w:szCs w:val="24"/>
              </w:rPr>
              <w:t xml:space="preserve"> </w:t>
            </w:r>
            <w:r>
              <w:rPr>
                <w:bCs/>
                <w:sz w:val="24"/>
                <w:szCs w:val="24"/>
                <w:lang w:val="uk-UA"/>
              </w:rPr>
              <w:t>квартал</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Протягом 40 календарних днів, що настають за останнім календарним днем звітного кварталу.</w:t>
            </w:r>
          </w:p>
        </w:tc>
        <w:tc>
          <w:tcPr>
            <w:tcW w:w="379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Протягом</w:t>
            </w:r>
            <w:r>
              <w:rPr>
                <w:rStyle w:val="apple-converted-space"/>
                <w:sz w:val="24"/>
                <w:szCs w:val="24"/>
              </w:rPr>
              <w:t xml:space="preserve"> </w:t>
            </w:r>
            <w:r>
              <w:rPr>
                <w:bCs/>
                <w:sz w:val="24"/>
                <w:szCs w:val="24"/>
                <w:lang w:val="uk-UA"/>
              </w:rPr>
              <w:t>10 календарних днів</w:t>
            </w:r>
            <w:r>
              <w:rPr>
                <w:rStyle w:val="apple-converted-space"/>
                <w:sz w:val="24"/>
                <w:szCs w:val="24"/>
              </w:rPr>
              <w:t xml:space="preserve"> </w:t>
            </w:r>
            <w:r>
              <w:rPr>
                <w:sz w:val="24"/>
                <w:szCs w:val="24"/>
                <w:lang w:val="uk-UA"/>
              </w:rPr>
              <w:t>після граничного строку подання податкової декларації за податковий (звітний) квартал.</w:t>
            </w:r>
          </w:p>
        </w:tc>
      </w:tr>
    </w:tbl>
    <w:p w:rsidR="00B71A46" w:rsidRPr="00C03A15" w:rsidRDefault="00B71A46" w:rsidP="00B71A46">
      <w:pPr>
        <w:jc w:val="right"/>
        <w:rPr>
          <w:szCs w:val="28"/>
          <w:lang w:val="uk-UA"/>
        </w:rPr>
      </w:pPr>
      <w:r w:rsidRPr="00C03A15">
        <w:rPr>
          <w:szCs w:val="28"/>
          <w:lang w:val="uk-UA"/>
        </w:rPr>
        <w:lastRenderedPageBreak/>
        <w:t>Продовження таблиці 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1703"/>
        <w:gridCol w:w="2835"/>
        <w:gridCol w:w="3793"/>
      </w:tblGrid>
      <w:tr w:rsidR="00B71A46" w:rsidTr="003A3705">
        <w:tc>
          <w:tcPr>
            <w:tcW w:w="1240"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Групи платників єдиного податку</w:t>
            </w:r>
          </w:p>
        </w:tc>
        <w:tc>
          <w:tcPr>
            <w:tcW w:w="170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Податковий (звітний) період</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Термін подачі звітності</w:t>
            </w:r>
          </w:p>
        </w:tc>
        <w:tc>
          <w:tcPr>
            <w:tcW w:w="379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sz w:val="24"/>
                <w:szCs w:val="24"/>
                <w:lang w:val="uk-UA"/>
              </w:rPr>
            </w:pPr>
            <w:r>
              <w:rPr>
                <w:bCs/>
                <w:sz w:val="24"/>
                <w:szCs w:val="24"/>
                <w:lang w:val="uk-UA"/>
              </w:rPr>
              <w:t>Термін подачі звітності</w:t>
            </w:r>
          </w:p>
          <w:p w:rsidR="00B71A46" w:rsidRDefault="00B71A46" w:rsidP="003A3705">
            <w:pPr>
              <w:spacing w:line="240" w:lineRule="auto"/>
              <w:ind w:firstLine="0"/>
              <w:jc w:val="center"/>
              <w:rPr>
                <w:rFonts w:eastAsia="Calibri" w:cs="Times New Roman"/>
                <w:b/>
                <w:sz w:val="24"/>
                <w:szCs w:val="24"/>
                <w:lang w:val="uk-UA"/>
              </w:rPr>
            </w:pPr>
            <w:r>
              <w:rPr>
                <w:bCs/>
                <w:sz w:val="24"/>
                <w:szCs w:val="24"/>
                <w:lang w:val="uk-UA"/>
              </w:rPr>
              <w:t>Термін сплати</w:t>
            </w:r>
          </w:p>
        </w:tc>
      </w:tr>
      <w:tr w:rsidR="00B71A46" w:rsidTr="003A3705">
        <w:tc>
          <w:tcPr>
            <w:tcW w:w="1240"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sz w:val="24"/>
                <w:szCs w:val="24"/>
                <w:lang w:val="uk-UA"/>
              </w:rPr>
            </w:pPr>
            <w:r>
              <w:rPr>
                <w:bCs/>
                <w:sz w:val="24"/>
                <w:szCs w:val="24"/>
                <w:lang w:val="uk-UA"/>
              </w:rPr>
              <w:t>4 група</w:t>
            </w:r>
          </w:p>
        </w:tc>
        <w:tc>
          <w:tcPr>
            <w:tcW w:w="170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center"/>
              <w:rPr>
                <w:rFonts w:eastAsia="Calibri" w:cs="Times New Roman"/>
                <w:sz w:val="24"/>
                <w:szCs w:val="24"/>
                <w:lang w:val="uk-UA"/>
              </w:rPr>
            </w:pPr>
            <w:r>
              <w:rPr>
                <w:sz w:val="24"/>
                <w:szCs w:val="24"/>
                <w:lang w:val="uk-UA"/>
              </w:rPr>
              <w:t>Календарний</w:t>
            </w:r>
            <w:r>
              <w:rPr>
                <w:rStyle w:val="apple-converted-space"/>
                <w:sz w:val="24"/>
                <w:szCs w:val="24"/>
              </w:rPr>
              <w:t xml:space="preserve"> </w:t>
            </w:r>
            <w:r>
              <w:rPr>
                <w:bCs/>
                <w:sz w:val="24"/>
                <w:szCs w:val="24"/>
                <w:lang w:val="uk-UA"/>
              </w:rPr>
              <w:t>рік</w:t>
            </w:r>
          </w:p>
        </w:tc>
        <w:tc>
          <w:tcPr>
            <w:tcW w:w="2835"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jc w:val="both"/>
              <w:rPr>
                <w:rFonts w:eastAsia="Calibri" w:cs="Times New Roman"/>
                <w:sz w:val="24"/>
                <w:szCs w:val="24"/>
                <w:lang w:val="uk-UA"/>
              </w:rPr>
            </w:pPr>
            <w:r>
              <w:rPr>
                <w:sz w:val="24"/>
                <w:szCs w:val="24"/>
                <w:lang w:val="uk-UA"/>
              </w:rPr>
              <w:t>Самостійно обчислюють суму податку щороку станом на 1 січня і подають декларацію</w:t>
            </w:r>
            <w:r>
              <w:rPr>
                <w:rStyle w:val="apple-converted-space"/>
                <w:sz w:val="24"/>
                <w:szCs w:val="24"/>
              </w:rPr>
              <w:t xml:space="preserve"> </w:t>
            </w:r>
            <w:r>
              <w:rPr>
                <w:bCs/>
                <w:sz w:val="24"/>
                <w:szCs w:val="24"/>
                <w:lang w:val="uk-UA"/>
              </w:rPr>
              <w:t>не пізніше 20 лютого</w:t>
            </w:r>
            <w:r>
              <w:rPr>
                <w:rStyle w:val="apple-converted-space"/>
                <w:sz w:val="24"/>
                <w:szCs w:val="24"/>
              </w:rPr>
              <w:t> </w:t>
            </w:r>
            <w:r>
              <w:rPr>
                <w:sz w:val="24"/>
                <w:szCs w:val="24"/>
                <w:lang w:val="uk-UA"/>
              </w:rPr>
              <w:t xml:space="preserve">поточного року </w:t>
            </w:r>
          </w:p>
        </w:tc>
        <w:tc>
          <w:tcPr>
            <w:tcW w:w="3793" w:type="dxa"/>
            <w:tcBorders>
              <w:top w:val="single" w:sz="4" w:space="0" w:color="auto"/>
              <w:left w:val="single" w:sz="4" w:space="0" w:color="auto"/>
              <w:bottom w:val="single" w:sz="4" w:space="0" w:color="auto"/>
              <w:right w:val="single" w:sz="4" w:space="0" w:color="auto"/>
            </w:tcBorders>
            <w:vAlign w:val="center"/>
            <w:hideMark/>
          </w:tcPr>
          <w:p w:rsidR="00B71A46" w:rsidRDefault="00B71A46" w:rsidP="003A3705">
            <w:pPr>
              <w:spacing w:line="240" w:lineRule="auto"/>
              <w:ind w:firstLine="0"/>
              <w:rPr>
                <w:rFonts w:eastAsia="Calibri" w:cs="Times New Roman"/>
                <w:sz w:val="24"/>
                <w:szCs w:val="24"/>
                <w:lang w:val="uk-UA"/>
              </w:rPr>
            </w:pPr>
            <w:r>
              <w:rPr>
                <w:sz w:val="24"/>
                <w:szCs w:val="24"/>
                <w:lang w:val="uk-UA"/>
              </w:rPr>
              <w:t>Щоквартально протягом</w:t>
            </w:r>
            <w:r>
              <w:rPr>
                <w:rStyle w:val="apple-converted-space"/>
                <w:sz w:val="24"/>
                <w:szCs w:val="24"/>
              </w:rPr>
              <w:t xml:space="preserve"> </w:t>
            </w:r>
            <w:r>
              <w:rPr>
                <w:bCs/>
                <w:sz w:val="24"/>
                <w:szCs w:val="24"/>
                <w:lang w:val="uk-UA"/>
              </w:rPr>
              <w:t>30 календарних днів</w:t>
            </w:r>
            <w:r>
              <w:rPr>
                <w:sz w:val="24"/>
                <w:szCs w:val="24"/>
                <w:lang w:val="uk-UA"/>
              </w:rPr>
              <w:t>, що настають за останнім календарним днем податкового (звітного) кварталу, у розмірах:</w:t>
            </w:r>
          </w:p>
          <w:p w:rsidR="00B71A46" w:rsidRDefault="00B71A46" w:rsidP="00B71A46">
            <w:pPr>
              <w:numPr>
                <w:ilvl w:val="0"/>
                <w:numId w:val="1"/>
              </w:numPr>
              <w:tabs>
                <w:tab w:val="num" w:pos="459"/>
              </w:tabs>
              <w:spacing w:line="240" w:lineRule="auto"/>
              <w:ind w:left="0" w:firstLine="0"/>
              <w:rPr>
                <w:rFonts w:eastAsia="Times New Roman"/>
                <w:sz w:val="24"/>
                <w:szCs w:val="24"/>
                <w:lang w:val="uk-UA"/>
              </w:rPr>
            </w:pPr>
            <w:r>
              <w:rPr>
                <w:sz w:val="24"/>
                <w:szCs w:val="24"/>
                <w:lang w:val="uk-UA"/>
              </w:rPr>
              <w:t>у I кварталі — 10 %;</w:t>
            </w:r>
          </w:p>
          <w:p w:rsidR="00B71A46" w:rsidRDefault="00B71A46" w:rsidP="00B71A46">
            <w:pPr>
              <w:numPr>
                <w:ilvl w:val="0"/>
                <w:numId w:val="1"/>
              </w:numPr>
              <w:tabs>
                <w:tab w:val="num" w:pos="459"/>
              </w:tabs>
              <w:spacing w:line="240" w:lineRule="auto"/>
              <w:ind w:left="0" w:firstLine="0"/>
              <w:rPr>
                <w:sz w:val="24"/>
                <w:szCs w:val="24"/>
                <w:lang w:val="uk-UA"/>
              </w:rPr>
            </w:pPr>
            <w:r>
              <w:rPr>
                <w:sz w:val="24"/>
                <w:szCs w:val="24"/>
                <w:lang w:val="uk-UA"/>
              </w:rPr>
              <w:t>у II кварталі — 10 %;</w:t>
            </w:r>
          </w:p>
          <w:p w:rsidR="00B71A46" w:rsidRDefault="00B71A46" w:rsidP="00B71A46">
            <w:pPr>
              <w:numPr>
                <w:ilvl w:val="0"/>
                <w:numId w:val="1"/>
              </w:numPr>
              <w:tabs>
                <w:tab w:val="num" w:pos="459"/>
              </w:tabs>
              <w:spacing w:line="240" w:lineRule="auto"/>
              <w:ind w:left="0" w:firstLine="0"/>
              <w:rPr>
                <w:sz w:val="24"/>
                <w:szCs w:val="24"/>
                <w:lang w:val="uk-UA"/>
              </w:rPr>
            </w:pPr>
            <w:r>
              <w:rPr>
                <w:sz w:val="24"/>
                <w:szCs w:val="24"/>
                <w:lang w:val="uk-UA"/>
              </w:rPr>
              <w:t>у III кварталі — 50 %;</w:t>
            </w:r>
          </w:p>
          <w:p w:rsidR="00B71A46" w:rsidRDefault="00B71A46" w:rsidP="00B71A46">
            <w:pPr>
              <w:numPr>
                <w:ilvl w:val="0"/>
                <w:numId w:val="1"/>
              </w:numPr>
              <w:tabs>
                <w:tab w:val="num" w:pos="459"/>
              </w:tabs>
              <w:spacing w:line="240" w:lineRule="auto"/>
              <w:ind w:left="0" w:firstLine="0"/>
              <w:rPr>
                <w:rFonts w:eastAsia="Calibri" w:cs="Times New Roman"/>
                <w:sz w:val="24"/>
                <w:szCs w:val="24"/>
                <w:lang w:val="uk-UA"/>
              </w:rPr>
            </w:pPr>
            <w:r>
              <w:rPr>
                <w:sz w:val="24"/>
                <w:szCs w:val="24"/>
                <w:lang w:val="uk-UA"/>
              </w:rPr>
              <w:t>у IV кварталі — 30 %</w:t>
            </w:r>
          </w:p>
        </w:tc>
      </w:tr>
    </w:tbl>
    <w:p w:rsidR="00B71A46" w:rsidRDefault="00B71A46" w:rsidP="00B71A46"/>
    <w:p w:rsidR="00FD64AE" w:rsidRDefault="00FD64AE"/>
    <w:sectPr w:rsidR="00FD64AE" w:rsidSect="00FD64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9741B"/>
    <w:multiLevelType w:val="multilevel"/>
    <w:tmpl w:val="21F89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1A46"/>
    <w:rsid w:val="00B71A46"/>
    <w:rsid w:val="00FD6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A46"/>
    <w:pPr>
      <w:spacing w:after="0" w:line="360"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71A46"/>
    <w:pPr>
      <w:spacing w:before="53" w:after="53" w:line="240" w:lineRule="auto"/>
      <w:ind w:left="75" w:right="75" w:firstLine="150"/>
      <w:jc w:val="both"/>
    </w:pPr>
    <w:rPr>
      <w:rFonts w:ascii="Verdana" w:eastAsia="Times New Roman" w:hAnsi="Verdana" w:cs="Times New Roman"/>
      <w:color w:val="000000"/>
      <w:sz w:val="22"/>
      <w:lang w:eastAsia="ru-RU"/>
    </w:rPr>
  </w:style>
  <w:style w:type="character" w:styleId="a4">
    <w:name w:val="Strong"/>
    <w:uiPriority w:val="22"/>
    <w:qFormat/>
    <w:rsid w:val="00B71A46"/>
    <w:rPr>
      <w:b/>
      <w:bCs/>
    </w:rPr>
  </w:style>
  <w:style w:type="character" w:customStyle="1" w:styleId="apple-converted-space">
    <w:name w:val="apple-converted-space"/>
    <w:rsid w:val="00B71A46"/>
  </w:style>
  <w:style w:type="character" w:styleId="a5">
    <w:name w:val="Hyperlink"/>
    <w:basedOn w:val="a0"/>
    <w:unhideWhenUsed/>
    <w:rsid w:val="00B71A4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1381</Words>
  <Characters>7876</Characters>
  <Application>Microsoft Office Word</Application>
  <DocSecurity>0</DocSecurity>
  <Lines>65</Lines>
  <Paragraphs>18</Paragraphs>
  <ScaleCrop>false</ScaleCrop>
  <Company/>
  <LinksUpToDate>false</LinksUpToDate>
  <CharactersWithSpaces>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Л.К.</dc:creator>
  <cp:lastModifiedBy>Феофанов Л.К.</cp:lastModifiedBy>
  <cp:revision>1</cp:revision>
  <dcterms:created xsi:type="dcterms:W3CDTF">2020-10-24T06:07:00Z</dcterms:created>
  <dcterms:modified xsi:type="dcterms:W3CDTF">2020-10-24T06:08:00Z</dcterms:modified>
</cp:coreProperties>
</file>