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200" w:rsidRPr="009B0200" w:rsidRDefault="009B0200" w:rsidP="009B0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200">
        <w:rPr>
          <w:rFonts w:ascii="Times New Roman" w:hAnsi="Times New Roman" w:cs="Times New Roman"/>
          <w:b/>
          <w:sz w:val="28"/>
          <w:szCs w:val="28"/>
        </w:rPr>
        <w:t xml:space="preserve">Тема 12. </w:t>
      </w:r>
      <w:proofErr w:type="spellStart"/>
      <w:r w:rsidRPr="009B0200">
        <w:rPr>
          <w:rFonts w:ascii="Times New Roman" w:hAnsi="Times New Roman" w:cs="Times New Roman"/>
          <w:b/>
          <w:sz w:val="28"/>
          <w:szCs w:val="28"/>
        </w:rPr>
        <w:t>Ефективність</w:t>
      </w:r>
      <w:proofErr w:type="spellEnd"/>
      <w:r w:rsidRPr="009B02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0200">
        <w:rPr>
          <w:rFonts w:ascii="Times New Roman" w:hAnsi="Times New Roman" w:cs="Times New Roman"/>
          <w:b/>
          <w:sz w:val="28"/>
          <w:szCs w:val="28"/>
        </w:rPr>
        <w:t>інноваційного</w:t>
      </w:r>
      <w:proofErr w:type="spellEnd"/>
      <w:r w:rsidRPr="009B02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0200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9B02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9B020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B0200">
        <w:rPr>
          <w:rFonts w:ascii="Times New Roman" w:hAnsi="Times New Roman" w:cs="Times New Roman"/>
          <w:b/>
          <w:sz w:val="28"/>
          <w:szCs w:val="28"/>
        </w:rPr>
        <w:t>ідприємств</w:t>
      </w:r>
      <w:proofErr w:type="spellEnd"/>
    </w:p>
    <w:p w:rsidR="00950848" w:rsidRPr="009B0200" w:rsidRDefault="00950848" w:rsidP="0095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200">
        <w:rPr>
          <w:rFonts w:ascii="Times New Roman" w:hAnsi="Times New Roman" w:cs="Times New Roman"/>
          <w:sz w:val="28"/>
          <w:szCs w:val="28"/>
          <w:lang w:val="uk-UA"/>
        </w:rPr>
        <w:t>1. Принципи вимірювання і показники ефективності інноваційної діяльності</w:t>
      </w:r>
    </w:p>
    <w:p w:rsidR="00950848" w:rsidRPr="00950848" w:rsidRDefault="00950848" w:rsidP="0095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84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проекті</w:t>
      </w:r>
      <w:proofErr w:type="gramStart"/>
      <w:r w:rsidRPr="0095084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</w:p>
    <w:p w:rsidR="00950848" w:rsidRPr="00950848" w:rsidRDefault="00950848" w:rsidP="0095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84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95084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50848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інноваційної</w:t>
      </w:r>
      <w:proofErr w:type="spellEnd"/>
      <w:r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84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E00D26" w:rsidRDefault="00E00D26" w:rsidP="00E00D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D26" w:rsidRPr="00E00D26" w:rsidRDefault="00950848" w:rsidP="00E00D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b/>
          <w:sz w:val="28"/>
          <w:szCs w:val="28"/>
          <w:lang w:val="uk-UA"/>
        </w:rPr>
        <w:t>1. Принципи вимірювання і показники ефективності</w:t>
      </w:r>
      <w:r w:rsidR="00E00D26" w:rsidRPr="00E00D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інноваційної діяльності</w:t>
      </w:r>
    </w:p>
    <w:p w:rsidR="00950848" w:rsidRPr="00E00D26" w:rsidRDefault="00950848" w:rsidP="0095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D26" w:rsidRPr="00E00D26" w:rsidRDefault="00950848" w:rsidP="00E0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Оцінювання ефективності інвестицій потребує комплексного підходу, що</w:t>
      </w:r>
      <w:r w:rsidR="00E00D26"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оцінювання економічних, науково-технічних і соціальних наслідків їх впровадження.</w:t>
      </w:r>
    </w:p>
    <w:p w:rsidR="00E00D26" w:rsidRPr="00E00D26" w:rsidRDefault="00950848" w:rsidP="00E0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Інноваційні зміни є необхідною умовою успішної діяльності підприємства за</w:t>
      </w:r>
      <w:r w:rsidR="00E00D26"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ринкових умов. </w:t>
      </w:r>
      <w:r w:rsidR="00E00D26" w:rsidRPr="007C2A19">
        <w:rPr>
          <w:rFonts w:ascii="Times New Roman" w:hAnsi="Times New Roman" w:cs="Times New Roman"/>
          <w:sz w:val="28"/>
          <w:szCs w:val="28"/>
          <w:lang w:val="uk-UA"/>
        </w:rPr>
        <w:t xml:space="preserve">Лише висока конкурентоспроможність підприємницьких структур дає змогу зберегти свої позиції чи успішно розвиватися, посісти належне місце у світовому розподілі праці. </w:t>
      </w:r>
      <w:proofErr w:type="spellStart"/>
      <w:r w:rsidR="00E00D26" w:rsidRPr="009508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00D26"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95084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E00D26"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950848">
        <w:rPr>
          <w:rFonts w:ascii="Times New Roman" w:hAnsi="Times New Roman" w:cs="Times New Roman"/>
          <w:sz w:val="28"/>
          <w:szCs w:val="28"/>
        </w:rPr>
        <w:t>виграє</w:t>
      </w:r>
      <w:proofErr w:type="spellEnd"/>
      <w:r w:rsidR="00E00D26" w:rsidRPr="0095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95084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E00D26" w:rsidRPr="00950848">
        <w:rPr>
          <w:rFonts w:ascii="Times New Roman" w:hAnsi="Times New Roman" w:cs="Times New Roman"/>
          <w:sz w:val="28"/>
          <w:szCs w:val="28"/>
        </w:rPr>
        <w:t xml:space="preserve"> держава</w:t>
      </w:r>
      <w:r w:rsidR="00E00D26" w:rsidRPr="00E00D26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ВВП,</w:t>
      </w:r>
      <w:r w:rsidR="00E00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вирішуються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підвищується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добробут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>,</w:t>
      </w:r>
      <w:r w:rsidR="00E00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інноваційної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позитивно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позначаються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функціонуванні</w:t>
      </w:r>
      <w:proofErr w:type="spellEnd"/>
      <w:r w:rsidR="00E00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00D26" w:rsidRPr="00E00D2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E00D26" w:rsidRPr="00E00D26">
        <w:rPr>
          <w:rFonts w:ascii="Times New Roman" w:hAnsi="Times New Roman" w:cs="Times New Roman"/>
          <w:sz w:val="28"/>
          <w:szCs w:val="28"/>
        </w:rPr>
        <w:t>ідчить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D26" w:rsidRPr="00E00D26">
        <w:rPr>
          <w:rFonts w:ascii="Times New Roman" w:hAnsi="Times New Roman" w:cs="Times New Roman"/>
          <w:sz w:val="28"/>
          <w:szCs w:val="28"/>
        </w:rPr>
        <w:t>інновацій</w:t>
      </w:r>
      <w:proofErr w:type="spellEnd"/>
      <w:r w:rsidR="00E00D26" w:rsidRPr="00E00D26">
        <w:rPr>
          <w:rFonts w:ascii="Times New Roman" w:hAnsi="Times New Roman" w:cs="Times New Roman"/>
          <w:sz w:val="28"/>
          <w:szCs w:val="28"/>
        </w:rPr>
        <w:t>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b/>
          <w:sz w:val="28"/>
          <w:szCs w:val="28"/>
          <w:lang w:val="uk-UA"/>
        </w:rPr>
        <w:t>Ефективність інновацій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– результуюча величина, що визначається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здатністю інновацій зберігати певну кількість трудових, матеріальних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фінансових ресурсів з розрахунку на одиницю створюваних продуктів,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технічних систем, структур.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Ефективність інноваційної діяльності виявляється на мікроекономічному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(рівні окремих суб’єктів господарювання, які намагаються поліпшити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результати свого господарювання і отримати вищий прибуток у довгостроковій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перспективі) і на макроекономічному (рівні держави, метою якої є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динамічного розвитку всього суспільства) рівнях.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Засвідчують ефективність реалізації інновацій не тільки економічні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Інновації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потребу в не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поновлюваних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ресурсах,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E00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0D2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дотепер були поза межами людських чи технічних можливостей, формують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нові напрями науково-технічного розвитку тощо.</w:t>
      </w:r>
    </w:p>
    <w:p w:rsidR="007C2A19" w:rsidRPr="00E00D26" w:rsidRDefault="00E00D26" w:rsidP="007C2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Результати інновацій оцінюють за такими критеріями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: актуальність,</w:t>
      </w:r>
      <w:r w:rsidR="007C2A19" w:rsidRP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значущість, </w:t>
      </w:r>
      <w:proofErr w:type="spellStart"/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багатоаспектність</w:t>
      </w:r>
      <w:proofErr w:type="spellEnd"/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Актуальність.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Вона передбачає відповідність інноваційного проекту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цілям науково-технічного і соціально-економічного розвитку країни, регіону,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підприємства. Цілі визначаються з огляду на встановлені суб’єктом управління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науково-технічні, економічні, соціальні та екологічні пріоритети, які можуть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відображати загальносвітові тенденції розвитку і визначати стратегію розвитку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країни, регіону, окремого підприємства.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Значущість.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Її визначають з позицій державного, регіонального,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галузевого рівнів управління, а також з позицій суб’єкта підприємництва.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Багатоаспектність</w:t>
      </w:r>
      <w:proofErr w:type="spellEnd"/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Цей критерій враховує вплив інновації на різні</w:t>
      </w:r>
    </w:p>
    <w:p w:rsidR="007C2A19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сторони діяльності суб’єкта господарювання та його оточення. </w:t>
      </w:r>
    </w:p>
    <w:p w:rsidR="007C2A19" w:rsidRPr="00E00D26" w:rsidRDefault="00E00D26" w:rsidP="007C2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Це передбачає</w:t>
      </w:r>
      <w:r w:rsidR="007C2A19" w:rsidRP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оцінювання науково-технічного, ресурсного, соціального, екологічного ефектів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(результатів).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sz w:val="28"/>
          <w:szCs w:val="28"/>
          <w:u w:val="single"/>
          <w:lang w:val="uk-UA"/>
        </w:rPr>
        <w:t>1. Науково-технічне оцінювання.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У його процесі визначають: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якою мірою прийняті технічні рішення відповідають сучасним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технологічним вимогам в індустріально розвинутих країнах;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який рівень і масштаб новизни інноваційного проекту та його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складових; чи ґрунтується він на інтелектуальному продукті, чи на захищеній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патентами інтелектуальній власності;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наскільки перспективними є закладені в проект технології й технічні засоби;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на який ринок (зовнішній чи внутрішній) розрахована нова продукція.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sz w:val="28"/>
          <w:szCs w:val="28"/>
          <w:u w:val="single"/>
          <w:lang w:val="uk-UA"/>
        </w:rPr>
        <w:t>2. Економічне оцінювання.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Воно охоплює систему показників, які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відображають відношення результатів і витрат кожного учасника інновації.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Вихідними даними для їх визначення є: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ринкова потреба в інновації (обсяг її продажу протягом розрахункового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періоду);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прогнозна ціна інновації (з урахуванням видатків, рівня інфляції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позичкового відсотка, рівня прибутковості);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величина реальних грошових потоків (визначається сумою поточних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витрат, інвестицій, виручкою від продажу тощо).</w:t>
      </w:r>
    </w:p>
    <w:p w:rsidR="00E00D26" w:rsidRPr="007C2A19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Загальним принципом оцінювання економічної ефективності інноваційної</w:t>
      </w:r>
      <w:r w:rsidR="007C2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є порівняння ефекту від застосування нововведень і витрат на їх</w:t>
      </w:r>
      <w:r w:rsidR="007C2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розроблення, виробництво та споживання.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Показники економічної ефективності інноваційної діяльності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, які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використовують в економічних розрахунках, поділяють за: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місцем одержання: локальні, регіональні, галузеві й загальнодержавні;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метою визначення: абсолютні й порівняльні;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ступенем збільшення: одноразові й мультиплікаційні;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часом урахування результатів і витрат: за розрахунковий період і за рік.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Локальна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результати інноваційної діяльності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на рівні окремого суб’єкта господарювання, </w:t>
      </w: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регіональна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– суб’єктів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господарювання регіону, </w:t>
      </w: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галузева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– галузі.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Загальнодержавна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сукупну ефективність у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всіх сферах виробництва і використання інновації в межах держави.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Абсолютна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показує загальний результат, отриманий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підприємством від здійснення інноваційних заходів за певний проміжок часу.</w:t>
      </w:r>
    </w:p>
    <w:p w:rsidR="00E00D26" w:rsidRPr="00E00D26" w:rsidRDefault="00E00D26" w:rsidP="007C2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свідчить про результати альтернативних</w:t>
      </w:r>
      <w:r w:rsid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варіантів інноваційних заходів, на основі чого здійснюється вибір кращого.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Одноразова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вказує на загальний початковий результат,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отриманий підприємством від здійснення інноваційної діяльності.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Мультиплікаційна ефективність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результат інноваційної</w:t>
      </w:r>
    </w:p>
    <w:p w:rsidR="00E00D26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діяльності, що поширюється на інші галузі, внаслідок чого має місце </w:t>
      </w:r>
      <w:proofErr w:type="spellStart"/>
      <w:r w:rsidRPr="00E00D26">
        <w:rPr>
          <w:rFonts w:ascii="Times New Roman" w:hAnsi="Times New Roman" w:cs="Times New Roman"/>
          <w:sz w:val="28"/>
          <w:szCs w:val="28"/>
          <w:lang w:val="uk-UA"/>
        </w:rPr>
        <w:t>мульти-</w:t>
      </w:r>
      <w:proofErr w:type="spellEnd"/>
    </w:p>
    <w:p w:rsidR="007C2A19" w:rsidRPr="00E00D26" w:rsidRDefault="00E00D26" w:rsidP="007C2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0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плікація</w:t>
      </w:r>
      <w:proofErr w:type="spellEnd"/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ефекту, тобто процес його помноження. Так, вважається, що найбільший</w:t>
      </w:r>
      <w:r w:rsidR="007C2A19" w:rsidRP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мультиплікаційний ефект мають новації у машинобудівних галузях та будівництві,</w:t>
      </w:r>
      <w:r w:rsidR="007C2A19" w:rsidRPr="007C2A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A19" w:rsidRPr="00E00D26">
        <w:rPr>
          <w:rFonts w:ascii="Times New Roman" w:hAnsi="Times New Roman" w:cs="Times New Roman"/>
          <w:sz w:val="28"/>
          <w:szCs w:val="28"/>
          <w:lang w:val="uk-UA"/>
        </w:rPr>
        <w:t>оскільки вони працюють у тісному зв’язку з багатьма іншими галузями.</w:t>
      </w:r>
    </w:p>
    <w:p w:rsidR="00E00D26" w:rsidRPr="00E00D26" w:rsidRDefault="00E00D26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A19">
        <w:rPr>
          <w:rFonts w:ascii="Times New Roman" w:hAnsi="Times New Roman" w:cs="Times New Roman"/>
          <w:b/>
          <w:sz w:val="28"/>
          <w:szCs w:val="28"/>
          <w:lang w:val="uk-UA"/>
        </w:rPr>
        <w:t>Ефективність протягом розрахункового періоду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 xml:space="preserve"> – це результат,</w:t>
      </w:r>
    </w:p>
    <w:p w:rsidR="00936BD1" w:rsidRPr="00936BD1" w:rsidRDefault="00ED3EFA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D26" w:rsidRPr="00E00D26">
        <w:rPr>
          <w:rFonts w:ascii="Times New Roman" w:hAnsi="Times New Roman" w:cs="Times New Roman"/>
          <w:sz w:val="28"/>
          <w:szCs w:val="28"/>
          <w:lang w:val="uk-UA"/>
        </w:rPr>
        <w:t>отриманий протягом терміну використання інновації. Як правило, він може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визначений лише приблизно</w:t>
      </w:r>
      <w:r w:rsidR="00936BD1" w:rsidRPr="00936BD1">
        <w:rPr>
          <w:rFonts w:ascii="Times New Roman" w:hAnsi="Times New Roman" w:cs="Times New Roman"/>
          <w:sz w:val="28"/>
          <w:szCs w:val="28"/>
          <w:lang w:val="uk-UA"/>
        </w:rPr>
        <w:t>, оскільки на його величину впливають зміни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BD1" w:rsidRPr="00936BD1">
        <w:rPr>
          <w:rFonts w:ascii="Times New Roman" w:hAnsi="Times New Roman" w:cs="Times New Roman"/>
          <w:sz w:val="28"/>
          <w:szCs w:val="28"/>
          <w:lang w:val="uk-UA"/>
        </w:rPr>
        <w:t>ринкової ситуації, що можуть бути прогнозовані лише з певною імовірністю.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Тому частіше використовують величину ефекту, отриманого протягом року.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EFA">
        <w:rPr>
          <w:rFonts w:ascii="Times New Roman" w:hAnsi="Times New Roman" w:cs="Times New Roman"/>
          <w:b/>
          <w:sz w:val="28"/>
          <w:szCs w:val="28"/>
          <w:lang w:val="uk-UA"/>
        </w:rPr>
        <w:t>Річна ефективність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 – ефективність, отримана протягом умовного року</w:t>
      </w:r>
    </w:p>
    <w:p w:rsidR="00936BD1" w:rsidRPr="00936BD1" w:rsidRDefault="00936BD1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(як правило, усереднена).</w:t>
      </w:r>
    </w:p>
    <w:p w:rsidR="00936BD1" w:rsidRPr="00936BD1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Обирають </w:t>
      </w:r>
      <w:r w:rsidRPr="00ED3EFA">
        <w:rPr>
          <w:rFonts w:ascii="Times New Roman" w:hAnsi="Times New Roman" w:cs="Times New Roman"/>
          <w:b/>
          <w:sz w:val="28"/>
          <w:szCs w:val="28"/>
          <w:lang w:val="uk-UA"/>
        </w:rPr>
        <w:t>метод оцінювання ефективності інновацій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 залежно від об’єктів,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якими можуть виступати різні </w:t>
      </w:r>
      <w:r w:rsidRPr="00ED3EFA">
        <w:rPr>
          <w:rFonts w:ascii="Times New Roman" w:hAnsi="Times New Roman" w:cs="Times New Roman"/>
          <w:b/>
          <w:sz w:val="28"/>
          <w:szCs w:val="28"/>
          <w:lang w:val="uk-UA"/>
        </w:rPr>
        <w:t>типи інновацій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засоби і знаряддя праці (нові, реконструйовані, модернізовані);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предмети праці (сировина, паливо, матеріали, енергія);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предмети кінцевого споживання;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технологічні процеси;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методи організації виробництва, праці та управління;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інноваційний проект.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EFA">
        <w:rPr>
          <w:rFonts w:ascii="Times New Roman" w:hAnsi="Times New Roman" w:cs="Times New Roman"/>
          <w:sz w:val="28"/>
          <w:szCs w:val="28"/>
          <w:u w:val="single"/>
          <w:lang w:val="uk-UA"/>
        </w:rPr>
        <w:t>3. Ресурсне оцінювання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. Здійснюють його з метою визначення впливу</w:t>
      </w:r>
    </w:p>
    <w:p w:rsidR="00936BD1" w:rsidRPr="00936BD1" w:rsidRDefault="00936BD1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інновацій на обсяги споживання певного виду ресурсу і подолання проблеми</w:t>
      </w:r>
    </w:p>
    <w:p w:rsidR="00936BD1" w:rsidRPr="00936BD1" w:rsidRDefault="00936BD1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його обмеженості (важливе у разі використання дефіцитних чи не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поновлюваних ресурсів, особливо тих, які імпортують); визначають його</w:t>
      </w:r>
    </w:p>
    <w:p w:rsidR="00936BD1" w:rsidRPr="00936BD1" w:rsidRDefault="00ED3EFA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BD1" w:rsidRPr="00936BD1">
        <w:rPr>
          <w:rFonts w:ascii="Times New Roman" w:hAnsi="Times New Roman" w:cs="Times New Roman"/>
          <w:sz w:val="28"/>
          <w:szCs w:val="28"/>
          <w:lang w:val="uk-UA"/>
        </w:rPr>
        <w:t>показниками підвищення ефективності їх використання (наприклад,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BD1" w:rsidRPr="00936BD1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використання трудових ресурсів – зростанням</w:t>
      </w:r>
    </w:p>
    <w:p w:rsidR="00936BD1" w:rsidRPr="00936BD1" w:rsidRDefault="00936BD1" w:rsidP="00ED3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продуктивності праці; технічних ресурсів – зростанням фондовіддачі тощо).</w:t>
      </w:r>
    </w:p>
    <w:p w:rsidR="00936BD1" w:rsidRPr="00936BD1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EFA">
        <w:rPr>
          <w:rFonts w:ascii="Times New Roman" w:hAnsi="Times New Roman" w:cs="Times New Roman"/>
          <w:sz w:val="28"/>
          <w:szCs w:val="28"/>
          <w:u w:val="single"/>
          <w:lang w:val="uk-UA"/>
        </w:rPr>
        <w:t>4. Соціальне оцінювання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. Полягає у визначенні внеску інновації у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поліпшення якості життя працівників (чи населення, якщо йдеться про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масштабні інновації).</w:t>
      </w:r>
    </w:p>
    <w:p w:rsidR="00ED3EFA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EFA">
        <w:rPr>
          <w:rFonts w:ascii="Times New Roman" w:hAnsi="Times New Roman" w:cs="Times New Roman"/>
          <w:sz w:val="28"/>
          <w:szCs w:val="28"/>
          <w:u w:val="single"/>
          <w:lang w:val="uk-UA"/>
        </w:rPr>
        <w:t>5. Екологічне оцінювання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. Цей вид оцінювання враховує вплив інновації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на розв’язання проблем охорони довкілля, що особливо важливо при реалізації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інноваційних проектів, які можуть змінювати рівень екологічної безпеки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території. </w:t>
      </w:r>
    </w:p>
    <w:p w:rsidR="00936BD1" w:rsidRPr="00936BD1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Здійснюється за такими показниками: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зниження викидів у навколишнє середовище;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- забезпечення безвідходності виробництва шляхом замкнутого</w:t>
      </w:r>
    </w:p>
    <w:p w:rsid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технологічного циклу перероблення ресурсів;</w:t>
      </w:r>
    </w:p>
    <w:p w:rsidR="00E00D26" w:rsidRPr="00E00D26" w:rsidRDefault="00E00D26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- наближення до біосферо сумісного типу технології (наприклад, сонячні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батареї, біотехнології перероблення відходів тощо).</w:t>
      </w:r>
    </w:p>
    <w:p w:rsidR="00E00D26" w:rsidRDefault="00E00D26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D26">
        <w:rPr>
          <w:rFonts w:ascii="Times New Roman" w:hAnsi="Times New Roman" w:cs="Times New Roman"/>
          <w:sz w:val="28"/>
          <w:szCs w:val="28"/>
          <w:lang w:val="uk-UA"/>
        </w:rPr>
        <w:t>Отже оцінювання інновації дає змогу точніше враховувати усі результати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і наслідки, які очікуються від її втілення у життя, і прийняти правильне рішення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D26">
        <w:rPr>
          <w:rFonts w:ascii="Times New Roman" w:hAnsi="Times New Roman" w:cs="Times New Roman"/>
          <w:sz w:val="28"/>
          <w:szCs w:val="28"/>
          <w:lang w:val="uk-UA"/>
        </w:rPr>
        <w:t>про доцільність її реалізації.</w:t>
      </w:r>
    </w:p>
    <w:p w:rsidR="00936BD1" w:rsidRDefault="00936BD1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BD1" w:rsidRDefault="00936BD1" w:rsidP="00E00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b/>
          <w:sz w:val="28"/>
          <w:szCs w:val="28"/>
          <w:lang w:val="uk-UA"/>
        </w:rPr>
        <w:t>2. Основні показники економічної ефективності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b/>
          <w:sz w:val="28"/>
          <w:szCs w:val="28"/>
          <w:lang w:val="uk-UA"/>
        </w:rPr>
        <w:t>інноваційних проектів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EFA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Інноваційні промислові проекти, як правило, передбачають випуск нової продукції. Прийняття рішення щодо втілення певного проекту в життя потребує ретельного вивчення усіх чинників, що впливатимуть на його реалізацію. Від цього залежать обсяги коштів, які потрібно вкласти у проект і які можна буде отримати від реалізації нової продукції протягом її життєвого циклу. Переважно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реалізація інноваційних проектів вимагає значних фінансових вкладень, які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інвестори очікують повернути. Обґрунтування можливості повернення витрат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є основою розрахунку економічної ефективності інноваційного проекту. </w:t>
      </w:r>
    </w:p>
    <w:p w:rsidR="00936BD1" w:rsidRPr="00936BD1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Економічна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ефективність інноваційного проекту визначається розміром доходів чи прибутку,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отриманих за рахунок реалізації інновації протягом життєвого циклу проекту.</w:t>
      </w:r>
    </w:p>
    <w:p w:rsidR="00936BD1" w:rsidRDefault="00936BD1" w:rsidP="00ED3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Приймаючи рішення про реалізацію інноваційного проекту, слід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враховувати вартість капіталу, залученого з різних джерел на різних стадіях життєвого циклу інноваційного проекту, і очікуваний прибуток від реалізації інноваційної продукції. </w:t>
      </w:r>
    </w:p>
    <w:p w:rsid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Схему життєвого циклу інноваційного проекту з урахуванням ймовірних джерел інвестування інноваційного процесу на різних його стадіях зображено на рис. 1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6BD1" w:rsidRPr="00936BD1" w:rsidRDefault="00936BD1" w:rsidP="00936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BD1" w:rsidRDefault="00936BD1" w:rsidP="00ED3E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09252" cy="351316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614" cy="351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BD1" w:rsidRPr="00936BD1" w:rsidRDefault="00936BD1" w:rsidP="00F23019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Рис. 1</w:t>
      </w:r>
      <w:r w:rsidR="00ED3EFA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. Життєвий цикл інноваційного проекту з урахуванням</w:t>
      </w:r>
      <w:r w:rsidR="00F23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ймовірних джерел інвестування інноваційного процесу на різних його стадіях</w:t>
      </w:r>
    </w:p>
    <w:p w:rsidR="00F23019" w:rsidRDefault="00F23019" w:rsidP="00936BD1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938F9" w:rsidRDefault="00936BD1" w:rsidP="00FE15F8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Обчислюючи економічну ефективність, слід обов’язково враховувати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зміну вартості грошей у часі, оскільки від вкладення інвестицій до отримання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прибутку минає чимало часу. З огляду на це необхідне дотримання таких принципів:</w:t>
      </w:r>
    </w:p>
    <w:p w:rsidR="00936BD1" w:rsidRPr="00936BD1" w:rsidRDefault="00936BD1" w:rsidP="00FE15F8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1. Оцінювання ефективності використання інвестиційного капіталу</w:t>
      </w:r>
      <w:r w:rsidR="00FE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здійснюється зіставленням грошового потоку, який формується у процесі</w:t>
      </w:r>
      <w:r w:rsidR="00FE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реалізації інноваційного проекту, та початкових інвестицій. Проект вважається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ефективним, якщо забезпечується повернення початкової суми інвестицій і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обумовлена доходність для інвестора, який надав капітал.</w:t>
      </w:r>
    </w:p>
    <w:p w:rsidR="00936BD1" w:rsidRPr="00936BD1" w:rsidRDefault="00936BD1" w:rsidP="000938F9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2. Інвестований капітал і грошові потоки, що генеруються цим капіталом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(отримані від продажу нової продукції), зво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>дяться до теперішнього розрахун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кового періоду, який звичайно визнач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ається роком початку реалізації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проекту.</w:t>
      </w:r>
    </w:p>
    <w:p w:rsidR="00936BD1" w:rsidRPr="00936BD1" w:rsidRDefault="00936BD1" w:rsidP="000938F9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3. Процес дисконтування капіталовкладень і грошових потоків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здійснюється за різними ставками дисконту, які визначаються залежно від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особливостей інноваційних проектів. При встановленні ставки дисконту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враховується структура інвестицій і вартість окремих складових капіталу.</w:t>
      </w:r>
    </w:p>
    <w:p w:rsidR="00936BD1" w:rsidRPr="00936BD1" w:rsidRDefault="00936BD1" w:rsidP="000938F9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4. Основою дисконтування є поняття часової переваги (зміни цінності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грошей у часі). Це означає, що раніше одержані гроші мають більшу цінність,</w:t>
      </w:r>
    </w:p>
    <w:p w:rsidR="000938F9" w:rsidRDefault="00936BD1" w:rsidP="000938F9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BD1">
        <w:rPr>
          <w:rFonts w:ascii="Times New Roman" w:hAnsi="Times New Roman" w:cs="Times New Roman"/>
          <w:sz w:val="28"/>
          <w:szCs w:val="28"/>
          <w:lang w:val="uk-UA"/>
        </w:rPr>
        <w:t>ніж гроші, одержані пізніше, що зумовлено зростанням ризиків і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невизначеності а часі. Тобто</w:t>
      </w:r>
      <w:r w:rsidR="00EB6C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 xml:space="preserve"> дисконтування – це перерахунок вигод і витрат для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BD1">
        <w:rPr>
          <w:rFonts w:ascii="Times New Roman" w:hAnsi="Times New Roman" w:cs="Times New Roman"/>
          <w:sz w:val="28"/>
          <w:szCs w:val="28"/>
          <w:lang w:val="uk-UA"/>
        </w:rPr>
        <w:t>кожного розрахункового періоду за допомогою норми (ставки) дисконту. Воно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13C"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ґрунтується на використанні техніки складних відсотків. </w:t>
      </w:r>
    </w:p>
    <w:p w:rsidR="00936BD1" w:rsidRDefault="00E2313C" w:rsidP="000938F9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Так, інвестований під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10% річних один долар США через рік є еквівалентним 1,1 дол. (1дол. + 10%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від 1 дол.), через 2 роки – 1,21 дол. (1 дол. + 10% від 1,1 дол.), через три роки –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1,33 дол. (1 дол. + 10% від 1,21 дол.) і т.д.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Приведення до базисного періоду витрат і вигод t-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розрахункового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періоду проекту здійснюється їх множенням на коефіцієнт дисконтування αt,</w:t>
      </w:r>
      <w:r w:rsidR="0009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що визначається для постійної норми дисконту E як</w:t>
      </w:r>
    </w:p>
    <w:p w:rsidR="00EB6C6D" w:rsidRDefault="00EB6C6D" w:rsidP="00E2313C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  <w:lang w:val="uk-UA"/>
        </w:rPr>
      </w:pPr>
    </w:p>
    <w:p w:rsidR="00EB6C6D" w:rsidRPr="00EB6C6D" w:rsidRDefault="00EB6C6D" w:rsidP="00EB6C6D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α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t</m:t>
            </m:r>
          </m:sub>
        </m:sSub>
        <m:r>
          <w:rPr>
            <w:rFonts w:ascii="Cambria Math" w:hAnsi="Times New Roman" w:cs="Times New Roman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  <w:lang w:val="uk-UA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(1+</m:t>
                </m:r>
                <m:r>
                  <w:rPr>
                    <w:rFonts w:ascii="Times New Roman" w:hAnsi="Times New Roman" w:cs="Times New Roman"/>
                    <w:sz w:val="32"/>
                    <w:szCs w:val="32"/>
                    <w:lang w:val="uk-UA"/>
                  </w:rPr>
                  <m:t>Е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t</m:t>
                </m:r>
              </m:sup>
            </m:sSup>
          </m:den>
        </m:f>
      </m:oMath>
      <w:r>
        <w:rPr>
          <w:rFonts w:ascii="Times" w:hAnsi="Times" w:cs="Times"/>
          <w:sz w:val="24"/>
          <w:szCs w:val="24"/>
          <w:lang w:val="uk-UA"/>
        </w:rPr>
        <w:t xml:space="preserve"> </w:t>
      </w:r>
    </w:p>
    <w:p w:rsidR="00EB6C6D" w:rsidRDefault="00EB6C6D" w:rsidP="00E2313C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E2313C" w:rsidRPr="00E2313C" w:rsidRDefault="00E2313C" w:rsidP="00EB6C6D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де t – номер кроку розрахунку.</w:t>
      </w:r>
    </w:p>
    <w:p w:rsidR="00EB6C6D" w:rsidRDefault="00E2313C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З погляду інвесторів, сума, яку вони одержать у майбутньому, має тим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меншу цінність, чим довше її доводиться чекати, оскільки більшою буде сума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втрачених за період очікування доходів. Так, при однаковій відсотковій ставці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10% зобов’язання виплатити 1 дол. через рік коштує сьогодні 0,91 дол. (1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поділити на 1,1 в степені 1), через два роки – 0,83 дол. (1 поділити на 1,1 в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степені 2), через три роки – 0,75 дол. (1 поділити на 1,1 в степені 3), а через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десять років – лише 0,39 дол.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C6D" w:rsidRPr="00EB6C6D" w:rsidRDefault="00E2313C" w:rsidP="00EB6C6D">
      <w:pPr>
        <w:tabs>
          <w:tab w:val="left" w:pos="163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Результат порівняння двох проектів з різним розподілом витрат і вигод у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часі може істотно залежати від норми дисконту. У стабільній ринковій економіці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величина норми дисконту стосовно власного капіталу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визначається депозитним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відсотком за вкладами з урахуванням інфляції і ризиків проекту. Якщо норма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дисконту буде нижчою від депозитного відсотка, інвестори надаватимуть перевагу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банківським депозитам. Якщо норма дисконту істотно перевищуватиме депозитний</w:t>
      </w:r>
      <w:r w:rsidR="00EB6C6D" w:rsidRPr="00EB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банківський відсоток (з урахуванням інфляції та інвестиційних ризиків), виникне</w:t>
      </w:r>
      <w:r w:rsidR="00EB6C6D" w:rsidRPr="00EB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підвищений попит на гроші, а також підвищиться банківський відсоток.</w:t>
      </w:r>
    </w:p>
    <w:p w:rsidR="00EB6C6D" w:rsidRDefault="00E2313C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Норма дисконту позичкового капіталу – відповідна відсоткова ставка, що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визначається умовами відсоткових виплат і погашення позик.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6C6D">
        <w:rPr>
          <w:rFonts w:ascii="Times New Roman" w:hAnsi="Times New Roman" w:cs="Times New Roman"/>
          <w:sz w:val="28"/>
          <w:szCs w:val="28"/>
          <w:lang w:val="uk-UA"/>
        </w:rPr>
        <w:t xml:space="preserve"> разі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змішаного капіталу норму дисконту приблизно можна визначити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="00EB6C6D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середньозважену вартість капіталу (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Weighted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Average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Cost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Capital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розраховану з огляду на структуру кап</w:t>
      </w:r>
      <w:r w:rsidR="00EB6C6D">
        <w:rPr>
          <w:rFonts w:ascii="Times New Roman" w:hAnsi="Times New Roman" w:cs="Times New Roman"/>
          <w:sz w:val="28"/>
          <w:szCs w:val="28"/>
          <w:lang w:val="uk-UA"/>
        </w:rPr>
        <w:t>італу, податкову систему, умови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виплат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тощо. </w:t>
      </w:r>
    </w:p>
    <w:p w:rsidR="00E2313C" w:rsidRDefault="00E2313C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Отже якщо є n видів капіталу, вартість кожного з яких після сплати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податків дорівнює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Et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, і його частка в загальному капіталі становить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>, то норма</w:t>
      </w:r>
      <w:r w:rsidR="00EB6C6D" w:rsidRPr="00EB6C6D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дисконту Е приблизно дорівнює:</w:t>
      </w:r>
    </w:p>
    <w:p w:rsidR="00EB6C6D" w:rsidRDefault="00EB6C6D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E= ∑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i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</m:oMath>
      </m:oMathPara>
    </w:p>
    <w:p w:rsidR="00EB6C6D" w:rsidRDefault="00EB6C6D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6C6D" w:rsidRPr="00EB6C6D" w:rsidRDefault="00EB6C6D" w:rsidP="00EB6C6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E4DD9" w:rsidRDefault="00E2313C" w:rsidP="00DE4DD9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Методи оцінювання економічної ефективності передбачають розрахуно</w:t>
      </w:r>
      <w:r w:rsidR="00DE4DD9"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інтегрального показника ефективності, розрахованого на основі чистої теперішньої</w:t>
      </w:r>
      <w:r w:rsidR="00EB6C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дисконтованої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>) вартості; індекс рентабельності інвестицій; внутрішньої норми</w:t>
      </w:r>
      <w:r w:rsidR="00EB6C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рентабельності (доходності); терміну окупності; точки беззбитковості проекту.</w:t>
      </w:r>
    </w:p>
    <w:p w:rsidR="00E2313C" w:rsidRPr="00E2313C" w:rsidRDefault="00E2313C" w:rsidP="00DE4DD9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DD9">
        <w:rPr>
          <w:rFonts w:ascii="Times New Roman" w:hAnsi="Times New Roman" w:cs="Times New Roman"/>
          <w:sz w:val="28"/>
          <w:szCs w:val="28"/>
          <w:u w:val="single"/>
          <w:lang w:val="uk-UA"/>
        </w:rPr>
        <w:t>Чиста теперішня вартість (ЧТВ).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Є інтегральним ефектом. Це різниця</w:t>
      </w:r>
      <w:r w:rsidR="00DE4DD9" w:rsidRPr="00DE4DD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доходів і витрат за розрахунковий період (зазвичай прогнозний життєвий цикл</w:t>
      </w:r>
      <w:r w:rsidR="00DE4DD9" w:rsidRPr="00DE4DD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проекту), приведених до одного, як правило, початкового року, тобто з</w:t>
      </w:r>
      <w:r w:rsidR="00DE4DD9" w:rsidRPr="00DE4DD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урахуванням їх дисконтування:</w:t>
      </w:r>
    </w:p>
    <w:p w:rsidR="00DE4DD9" w:rsidRPr="00DE4DD9" w:rsidRDefault="00DE4DD9" w:rsidP="00DE4DD9">
      <w:pPr>
        <w:tabs>
          <w:tab w:val="left" w:pos="1635"/>
        </w:tabs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ЧТВ=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i=0</m:t>
              </m:r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sub>
              </m:sSub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Д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  <w:lang w:val="uk-UA"/>
            </w:rPr>
            <m:t>)α</m:t>
          </m:r>
        </m:oMath>
      </m:oMathPara>
    </w:p>
    <w:p w:rsidR="00E2313C" w:rsidRPr="00E2313C" w:rsidRDefault="00E2313C" w:rsidP="009448C5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Тр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життєвий цикл проекту;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Дt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доходи на t-й рік;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Bt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інноваційні</w:t>
      </w:r>
    </w:p>
    <w:p w:rsidR="00E2313C" w:rsidRPr="00E2313C" w:rsidRDefault="00E2313C" w:rsidP="009448C5">
      <w:pPr>
        <w:tabs>
          <w:tab w:val="left" w:pos="16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витрати за t-й рік; αt – коефіцієнт дисконтування.</w:t>
      </w:r>
    </w:p>
    <w:p w:rsidR="001A2229" w:rsidRDefault="00E2313C" w:rsidP="009448C5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Якщо інноваційний проект передбачає інноваційні витрати лише в перший</w:t>
      </w:r>
      <w:r w:rsidR="001A2229" w:rsidRPr="001A22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рік (початкові інвестиції), то ЧТВ розраховують як різницю між грошовим</w:t>
      </w:r>
      <w:r w:rsidR="001A2229" w:rsidRPr="001A22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потоком протягом життєвого циклу проекту і початковими інвестиціями.</w:t>
      </w:r>
      <w:r w:rsidR="001A2229" w:rsidRPr="001A22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13C" w:rsidRPr="00E2313C" w:rsidRDefault="00E2313C" w:rsidP="009448C5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Якщо ЧТВ є позитивною, рішення доцільно впроваджувати.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Найскладнішим у розрахунку ЧТВ є прогнозування величини грошових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потоків, точність якого значною мірою залежить від зовнішніх умов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господарської діяльності – рівня інфляції, зміни цій на ресурси, зміни попиту</w:t>
      </w:r>
    </w:p>
    <w:p w:rsidR="001A2229" w:rsidRDefault="00E2313C" w:rsidP="009448C5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продукцію внаслідок появи конкурентів тощо. Тому доцільно розрахунок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ЧТВ супроводжувати аналізом чутливості проекту до ризику.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229" w:rsidRDefault="00E2313C" w:rsidP="009448C5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2229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Аналіз чутливості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це техніка аналізу проектного ризику, яка показує, як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зміниться значення чистого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дисконтованого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доходу (ЧТВ) при заданій зміні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вхідної змінної за інших умов.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229" w:rsidRDefault="00E2313C" w:rsidP="009448C5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Рішення про інвестування коштів у інноваційний проект приймається, як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правило, за наявності альтернативних варіантів проектів і їх зіставлення за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вигідністю. Якщо величина ЧТВ є позитивною для всіх альтернативних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проектів, необхідно вибрати той з них, де ЧТВ буде більшою.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13C" w:rsidRDefault="00E2313C" w:rsidP="009448C5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2229">
        <w:rPr>
          <w:rFonts w:ascii="Times New Roman" w:hAnsi="Times New Roman" w:cs="Times New Roman"/>
          <w:sz w:val="28"/>
          <w:szCs w:val="28"/>
          <w:u w:val="single"/>
          <w:lang w:val="uk-UA"/>
        </w:rPr>
        <w:t>Індекс рентабельності інвестицій JR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. Це відношення приведених доходів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до приведених на цю ж дату витр</w:t>
      </w:r>
      <w:r w:rsidR="001A2229">
        <w:rPr>
          <w:rFonts w:ascii="Times New Roman" w:hAnsi="Times New Roman" w:cs="Times New Roman"/>
          <w:sz w:val="28"/>
          <w:szCs w:val="28"/>
          <w:lang w:val="uk-UA"/>
        </w:rPr>
        <w:t>ат, що супроводжують реалізацію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інноваційного</w:t>
      </w:r>
      <w:r w:rsidR="001A2229" w:rsidRPr="001A2229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проекту. Розрахунок індексу рентабельності здійснюють за формулою:</w:t>
      </w:r>
    </w:p>
    <w:p w:rsidR="001A2229" w:rsidRPr="001A2229" w:rsidRDefault="001A2229" w:rsidP="001A2229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t=0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t=0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В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t×α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/>
                      </m:sSub>
                    </m:sub>
                  </m:sSub>
                </m:e>
              </m:nary>
            </m:den>
          </m:f>
        </m:oMath>
      </m:oMathPara>
    </w:p>
    <w:p w:rsidR="00414E27" w:rsidRDefault="00E2313C" w:rsidP="00987671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Дt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доход в період t;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Вt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розмір інвестицій в </w:t>
      </w:r>
      <w:r w:rsidRPr="00987671">
        <w:rPr>
          <w:rFonts w:ascii="Times New Roman" w:hAnsi="Times New Roman" w:cs="Times New Roman"/>
          <w:sz w:val="28"/>
          <w:szCs w:val="28"/>
          <w:lang w:val="uk-UA"/>
        </w:rPr>
        <w:t>інновації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у період t.</w:t>
      </w:r>
      <w:r w:rsidR="009876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Індекс рентабельності чітко пов'язаний з ЧТВ. Якщо ЧТВ позитивна, то</w:t>
      </w:r>
      <w:r w:rsidR="00987671" w:rsidRPr="0098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індекс рентабельності JR&gt;1, і навпаки. При JR&gt;1 інноваційний проект</w:t>
      </w:r>
      <w:r w:rsidR="00987671" w:rsidRPr="0098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вважається економічно ефективним, а якщо JR&lt; 1 – неефективним.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671" w:rsidRDefault="00E2313C" w:rsidP="00414E27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Цей показник доцільно використовувати для порівняння кількох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альтернативних проектів. За жорсткого дефіциту коштів перевагу слід надавати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тим проектам, для яких індекс рентабельності є найвищим.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671" w:rsidRDefault="00987671" w:rsidP="00987671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E2313C" w:rsidRPr="00E2313C" w:rsidRDefault="00E2313C" w:rsidP="00987671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7671">
        <w:rPr>
          <w:rFonts w:ascii="Times New Roman" w:hAnsi="Times New Roman" w:cs="Times New Roman"/>
          <w:sz w:val="28"/>
          <w:szCs w:val="28"/>
          <w:u w:val="single"/>
          <w:lang w:val="uk-UA"/>
        </w:rPr>
        <w:t>Внутрішня норма рентабельності (ВНР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). Вона показує ту норму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дисконту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ЕR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, за якої величина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дисконтованих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доходів за певну кількість років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стає рівною інвестиційним вкладенням у реалізацію проекту (Д – В = О). </w:t>
      </w:r>
      <w:r w:rsidR="0098767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7671" w:rsidRPr="00987671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такому разі доходи й витрати проекту визначаються приведенням до</w:t>
      </w:r>
      <w:r w:rsidR="0098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розрахункового моменту:</w:t>
      </w:r>
    </w:p>
    <w:p w:rsidR="00414E27" w:rsidRPr="00414E27" w:rsidRDefault="00414E27" w:rsidP="00E2313C">
      <w:pPr>
        <w:tabs>
          <w:tab w:val="left" w:pos="1635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Д=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t=0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Т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(1+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, В=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t=0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Т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t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(1+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)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/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t</m:t>
                      </m:r>
                    </m:sup>
                  </m:sSup>
                </m:den>
              </m:f>
            </m:e>
          </m:nary>
        </m:oMath>
      </m:oMathPara>
    </w:p>
    <w:p w:rsidR="00E2313C" w:rsidRPr="00E2313C" w:rsidRDefault="00E2313C" w:rsidP="00414E27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414E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513">
        <w:rPr>
          <w:rFonts w:ascii="Times New Roman" w:hAnsi="Times New Roman" w:cs="Times New Roman"/>
          <w:i/>
          <w:sz w:val="28"/>
          <w:szCs w:val="28"/>
          <w:lang w:val="uk-UA"/>
        </w:rPr>
        <w:t>внутрішня норма рентабельності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– це таке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порогове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414E27" w:rsidRPr="00414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рентабельності, яке забезпечує рівність нулю інтегрального ефекту,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розрахо-</w:t>
      </w:r>
      <w:proofErr w:type="spellEnd"/>
      <w:r w:rsidR="00414E27" w:rsidRPr="00414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ваного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на економічний термін життя інноваційного проекту. Вона дорівнює</w:t>
      </w:r>
    </w:p>
    <w:p w:rsidR="00414E27" w:rsidRDefault="00E2313C" w:rsidP="00414E27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максимальному відсотку за позиками, який можна платити за використання</w:t>
      </w:r>
      <w:r w:rsidR="00414E27" w:rsidRPr="00414E27">
        <w:rPr>
          <w:rFonts w:ascii="Times New Roman" w:hAnsi="Times New Roman" w:cs="Times New Roman"/>
          <w:sz w:val="28"/>
          <w:szCs w:val="28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необхідних ресурсів, залишаючись при цьому на беззбитковому рівні.</w:t>
      </w:r>
      <w:r w:rsidR="00414E27" w:rsidRPr="00414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513" w:rsidRPr="00E2313C" w:rsidRDefault="00414E27" w:rsidP="005555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313C" w:rsidRPr="00E2313C">
        <w:rPr>
          <w:rFonts w:ascii="Times New Roman" w:hAnsi="Times New Roman" w:cs="Times New Roman"/>
          <w:sz w:val="28"/>
          <w:szCs w:val="28"/>
          <w:lang w:val="uk-UA"/>
        </w:rPr>
        <w:t>Розрахунок внутрішньої норми рентабельності здійснюють методом</w:t>
      </w:r>
      <w:r w:rsidRPr="00414E27">
        <w:rPr>
          <w:rFonts w:ascii="Times New Roman" w:hAnsi="Times New Roman" w:cs="Times New Roman"/>
          <w:sz w:val="28"/>
          <w:szCs w:val="28"/>
        </w:rPr>
        <w:t xml:space="preserve"> </w:t>
      </w:r>
      <w:r w:rsidR="00E2313C" w:rsidRPr="00E2313C">
        <w:rPr>
          <w:rFonts w:ascii="Times New Roman" w:hAnsi="Times New Roman" w:cs="Times New Roman"/>
          <w:sz w:val="28"/>
          <w:szCs w:val="28"/>
          <w:lang w:val="uk-UA"/>
        </w:rPr>
        <w:t>послідовних наближень величини ЧТВ до нуля при різних ставках дисконту.</w:t>
      </w:r>
    </w:p>
    <w:p w:rsidR="00555513" w:rsidRDefault="00555513" w:rsidP="00E2313C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практиці можна застосовувати таку формулу:</w:t>
      </w:r>
    </w:p>
    <w:p w:rsidR="00555513" w:rsidRDefault="00555513" w:rsidP="00E2313C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=A+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α(В-А)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(α-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b)</m:t>
              </m:r>
            </m:den>
          </m:f>
        </m:oMath>
      </m:oMathPara>
    </w:p>
    <w:p w:rsidR="00555513" w:rsidRPr="00555513" w:rsidRDefault="00555513" w:rsidP="005678E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13">
        <w:rPr>
          <w:rFonts w:ascii="Times New Roman" w:hAnsi="Times New Roman" w:cs="Times New Roman"/>
          <w:sz w:val="28"/>
          <w:szCs w:val="28"/>
          <w:lang w:val="uk-UA"/>
        </w:rPr>
        <w:lastRenderedPageBreak/>
        <w:t>де А – величина ставки дисконту, за якої ЧТВ позитивна; В – величина</w:t>
      </w:r>
    </w:p>
    <w:p w:rsidR="00555513" w:rsidRPr="00555513" w:rsidRDefault="00555513" w:rsidP="0055551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13">
        <w:rPr>
          <w:rFonts w:ascii="Times New Roman" w:hAnsi="Times New Roman" w:cs="Times New Roman"/>
          <w:sz w:val="28"/>
          <w:szCs w:val="28"/>
          <w:lang w:val="uk-UA"/>
        </w:rPr>
        <w:t>ставки дисконту, за якої ЧТВ негативна: α – величина позитивної ЧТВ за</w:t>
      </w:r>
    </w:p>
    <w:p w:rsidR="00555513" w:rsidRDefault="00555513" w:rsidP="0055551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13">
        <w:rPr>
          <w:rFonts w:ascii="Times New Roman" w:hAnsi="Times New Roman" w:cs="Times New Roman"/>
          <w:sz w:val="28"/>
          <w:szCs w:val="28"/>
          <w:lang w:val="uk-UA"/>
        </w:rPr>
        <w:t>величини ставки дисконту А; в – величина негативної ЧТВ за величини ставки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513">
        <w:rPr>
          <w:rFonts w:ascii="Times New Roman" w:hAnsi="Times New Roman" w:cs="Times New Roman"/>
          <w:sz w:val="28"/>
          <w:szCs w:val="28"/>
          <w:lang w:val="uk-UA"/>
        </w:rPr>
        <w:t xml:space="preserve">дисконту В. </w:t>
      </w:r>
    </w:p>
    <w:p w:rsidR="00555513" w:rsidRDefault="00555513" w:rsidP="005678E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13">
        <w:rPr>
          <w:rFonts w:ascii="Times New Roman" w:hAnsi="Times New Roman" w:cs="Times New Roman"/>
          <w:sz w:val="28"/>
          <w:szCs w:val="28"/>
          <w:lang w:val="uk-UA"/>
        </w:rPr>
        <w:t>Якщо значення ВНР проекту для приватних інвесторів більше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513">
        <w:rPr>
          <w:rFonts w:ascii="Times New Roman" w:hAnsi="Times New Roman" w:cs="Times New Roman"/>
          <w:sz w:val="28"/>
          <w:szCs w:val="28"/>
          <w:lang w:val="uk-UA"/>
        </w:rPr>
        <w:t>існуючу ставку рефінансування банків, а для держави – за нормативну ставку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513">
        <w:rPr>
          <w:rFonts w:ascii="Times New Roman" w:hAnsi="Times New Roman" w:cs="Times New Roman"/>
          <w:sz w:val="28"/>
          <w:szCs w:val="28"/>
          <w:lang w:val="uk-UA"/>
        </w:rPr>
        <w:t>дисконту, і більше за ВНР альтернативних варіантів проекту з урахуванням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513">
        <w:rPr>
          <w:rFonts w:ascii="Times New Roman" w:hAnsi="Times New Roman" w:cs="Times New Roman"/>
          <w:sz w:val="28"/>
          <w:szCs w:val="28"/>
          <w:lang w:val="uk-UA"/>
        </w:rPr>
        <w:t>ступеня ризику, то рішення про його інвестування може бути позитивним.</w:t>
      </w:r>
    </w:p>
    <w:p w:rsidR="005678ED" w:rsidRDefault="005678ED" w:rsidP="005678E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48C5">
        <w:rPr>
          <w:rFonts w:ascii="Times New Roman" w:hAnsi="Times New Roman" w:cs="Times New Roman"/>
          <w:sz w:val="28"/>
          <w:szCs w:val="28"/>
          <w:u w:val="single"/>
          <w:lang w:val="uk-UA"/>
        </w:rPr>
        <w:t>Термін окупності інноваційного проекту.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 Це період, протягом якого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додатковий прибуток, отриманий внаслідок реалізації інноваційного проекту,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забезпечить повернення вкладених інвестицій. Розрахунок додаткового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прибутку також базується на грошовому потоці з його дисконтуванням для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приведення до початкової (теперішньої) вартості.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8ED" w:rsidRDefault="005678ED" w:rsidP="005678E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>Необхідність цього розрахунку зумовлена бажанням інвестора</w:t>
      </w:r>
      <w:r w:rsidRPr="005678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впевнитися, що термін повернення інвестицій буде не надто великим, оскільки</w:t>
      </w:r>
      <w:r w:rsidRPr="005678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ризики інвестування в ринкових умовах є тим більшими, чим триваліший час їх</w:t>
      </w:r>
      <w:r w:rsidRPr="005678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окупності. За цей час можуть змінитися і кон’юнктура ринку, і ціни. Крім того,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у галузях з високими темпами НТП поява нових технологій на час, коли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інвестиції ще не окупилися, може швидко їх знецінити.</w:t>
      </w:r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513" w:rsidRPr="005678ED" w:rsidRDefault="005678ED" w:rsidP="005678ED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>Період окупності інноваційного проекту розраховують за формулою</w:t>
      </w:r>
    </w:p>
    <w:p w:rsidR="00555513" w:rsidRPr="005678ED" w:rsidRDefault="005678ED" w:rsidP="00E2313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ПІ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den>
          </m:f>
        </m:oMath>
      </m:oMathPara>
    </w:p>
    <w:p w:rsidR="005678ED" w:rsidRPr="005678ED" w:rsidRDefault="005678ED" w:rsidP="005678ED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5678ED">
        <w:rPr>
          <w:rFonts w:ascii="Times New Roman" w:hAnsi="Times New Roman" w:cs="Times New Roman"/>
          <w:sz w:val="28"/>
          <w:szCs w:val="28"/>
        </w:rPr>
        <w:t xml:space="preserve">де </w:t>
      </w:r>
      <w:proofErr w:type="gramStart"/>
      <w:r w:rsidRPr="005678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78ED">
        <w:rPr>
          <w:rFonts w:ascii="Times New Roman" w:hAnsi="Times New Roman" w:cs="Times New Roman"/>
          <w:sz w:val="28"/>
          <w:szCs w:val="28"/>
        </w:rPr>
        <w:t xml:space="preserve">І –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початкові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інвестиції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у проект; Д –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прогнозні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щорічні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чисті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доходи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78ED" w:rsidRDefault="005678ED" w:rsidP="005678ED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щорічні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грошові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доходи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змінюються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тривалості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життєвого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циклу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продукту, то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усереднену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величину.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Інший спосіб розрахунку терміну окупності ґрунтується на </w:t>
      </w:r>
      <w:proofErr w:type="spellStart"/>
      <w:r w:rsidRPr="005678ED">
        <w:rPr>
          <w:rFonts w:ascii="Times New Roman" w:hAnsi="Times New Roman" w:cs="Times New Roman"/>
          <w:sz w:val="28"/>
          <w:szCs w:val="28"/>
          <w:lang w:val="uk-UA"/>
        </w:rPr>
        <w:t>постадійному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відніманні від величини початкових інвестицій прогнозного </w:t>
      </w:r>
      <w:proofErr w:type="gramStart"/>
      <w:r w:rsidRPr="005678ED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5678ED">
        <w:rPr>
          <w:rFonts w:ascii="Times New Roman" w:hAnsi="Times New Roman" w:cs="Times New Roman"/>
          <w:sz w:val="28"/>
          <w:szCs w:val="28"/>
          <w:lang w:val="uk-UA"/>
        </w:rPr>
        <w:t>ічного чистого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доходу у відповідному році. </w:t>
      </w:r>
      <w:r w:rsidRPr="005678E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наступна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стадія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на величину доходу,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враховану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8ED" w:rsidRPr="005678ED" w:rsidRDefault="005678ED" w:rsidP="005678ED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стадій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отриманопозитивну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величину,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цілих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окупності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закінчується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</w:rPr>
        <w:t xml:space="preserve">коли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залишок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меншим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прогнозного чистого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</w:rPr>
        <w:t xml:space="preserve">доходу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року. Для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інвестиції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окупляться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. Цей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</w:rPr>
        <w:t>точнішим</w:t>
      </w:r>
      <w:proofErr w:type="spellEnd"/>
      <w:r w:rsidRPr="005678ED">
        <w:rPr>
          <w:rFonts w:ascii="Times New Roman" w:hAnsi="Times New Roman" w:cs="Times New Roman"/>
          <w:sz w:val="28"/>
          <w:szCs w:val="28"/>
        </w:rPr>
        <w:t>.</w:t>
      </w:r>
    </w:p>
    <w:p w:rsidR="005678ED" w:rsidRDefault="005678ED" w:rsidP="009448C5">
      <w:pPr>
        <w:tabs>
          <w:tab w:val="left" w:pos="1635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448C5">
        <w:rPr>
          <w:rFonts w:ascii="Times New Roman" w:hAnsi="Times New Roman" w:cs="Times New Roman"/>
          <w:sz w:val="28"/>
          <w:szCs w:val="28"/>
          <w:u w:val="single"/>
          <w:lang w:val="uk-UA"/>
        </w:rPr>
        <w:t>Точка беззбитковості.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 її для визначення обсягу нової</w:t>
      </w:r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продукції, який потрібно реалізувати на ринку при прогнозному рівні цін на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lastRenderedPageBreak/>
        <w:t>неї,</w:t>
      </w:r>
      <w:r w:rsidRPr="005678ED"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досягнення якого забезпечуватиме прибутковість проекту. Точку</w:t>
      </w:r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беззбитковості (критичний обсяг продукції) можна розрахувати в натуральних</w:t>
      </w:r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одиницях за формулою</w:t>
      </w:r>
    </w:p>
    <w:p w:rsidR="000D7EEC" w:rsidRDefault="000D7EEC" w:rsidP="000D7EEC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крит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уп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од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зм</m:t>
                  </m:r>
                </m:sub>
              </m:sSub>
            </m:den>
          </m:f>
        </m:oMath>
      </m:oMathPara>
    </w:p>
    <w:p w:rsidR="000D7EEC" w:rsidRDefault="005678ED" w:rsidP="005678ED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>де Суп – умовно-постійні витрати підприє</w:t>
      </w:r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мства, грн.; </w:t>
      </w:r>
      <w:proofErr w:type="spellStart"/>
      <w:r w:rsidR="000D7EEC">
        <w:rPr>
          <w:rFonts w:ascii="Times New Roman" w:hAnsi="Times New Roman" w:cs="Times New Roman"/>
          <w:sz w:val="28"/>
          <w:szCs w:val="28"/>
          <w:lang w:val="uk-UA"/>
        </w:rPr>
        <w:t>Цод</w:t>
      </w:r>
      <w:proofErr w:type="spellEnd"/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 – ціна одиниці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продукції, грн.; </w:t>
      </w:r>
      <w:proofErr w:type="spellStart"/>
      <w:r w:rsidRPr="005678ED">
        <w:rPr>
          <w:rFonts w:ascii="Times New Roman" w:hAnsi="Times New Roman" w:cs="Times New Roman"/>
          <w:sz w:val="28"/>
          <w:szCs w:val="28"/>
          <w:lang w:val="uk-UA"/>
        </w:rPr>
        <w:t>Взм</w:t>
      </w:r>
      <w:proofErr w:type="spellEnd"/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 – змінні вит</w:t>
      </w:r>
      <w:r w:rsidR="000D7EEC">
        <w:rPr>
          <w:rFonts w:ascii="Times New Roman" w:hAnsi="Times New Roman" w:cs="Times New Roman"/>
          <w:sz w:val="28"/>
          <w:szCs w:val="28"/>
          <w:lang w:val="uk-UA"/>
        </w:rPr>
        <w:t xml:space="preserve">рати на одиницю продукції, грн. </w:t>
      </w:r>
    </w:p>
    <w:p w:rsidR="005678ED" w:rsidRDefault="005678ED" w:rsidP="000D7EEC">
      <w:pPr>
        <w:tabs>
          <w:tab w:val="left" w:pos="1635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>У вартісному вираженні критичний обсяг визначають за формулою</w:t>
      </w:r>
    </w:p>
    <w:p w:rsidR="005678ED" w:rsidRDefault="00E04AC6" w:rsidP="00E2313C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кр грн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уп.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1-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зм.</m:t>
                  </m:r>
                </m:sub>
              </m:sSub>
            </m:den>
          </m:f>
        </m:oMath>
      </m:oMathPara>
    </w:p>
    <w:p w:rsidR="005678ED" w:rsidRPr="005678ED" w:rsidRDefault="005678ED" w:rsidP="005678ED">
      <w:pPr>
        <w:tabs>
          <w:tab w:val="left" w:pos="163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E04AC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E04AC6" w:rsidRPr="00D86E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ED">
        <w:rPr>
          <w:rFonts w:ascii="Times New Roman" w:hAnsi="Times New Roman" w:cs="Times New Roman"/>
          <w:sz w:val="28"/>
          <w:szCs w:val="28"/>
          <w:lang w:val="uk-UA"/>
        </w:rPr>
        <w:t>зм</w:t>
      </w:r>
      <w:proofErr w:type="spellEnd"/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 – частка змінних витрат у ціні продукції.</w:t>
      </w:r>
    </w:p>
    <w:p w:rsidR="005678ED" w:rsidRDefault="005678ED" w:rsidP="00D86E2D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8ED">
        <w:rPr>
          <w:rFonts w:ascii="Times New Roman" w:hAnsi="Times New Roman" w:cs="Times New Roman"/>
          <w:sz w:val="28"/>
          <w:szCs w:val="28"/>
          <w:lang w:val="uk-UA"/>
        </w:rPr>
        <w:t>Із кількох альтернативних варіантів ре</w:t>
      </w:r>
      <w:r w:rsidR="00D86E2D">
        <w:rPr>
          <w:rFonts w:ascii="Times New Roman" w:hAnsi="Times New Roman" w:cs="Times New Roman"/>
          <w:sz w:val="28"/>
          <w:szCs w:val="28"/>
          <w:lang w:val="uk-UA"/>
        </w:rPr>
        <w:t xml:space="preserve">алізації проекту приймають той,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який забезпечить більший запас фінансо</w:t>
      </w:r>
      <w:r w:rsidR="00D86E2D">
        <w:rPr>
          <w:rFonts w:ascii="Times New Roman" w:hAnsi="Times New Roman" w:cs="Times New Roman"/>
          <w:sz w:val="28"/>
          <w:szCs w:val="28"/>
          <w:lang w:val="uk-UA"/>
        </w:rPr>
        <w:t xml:space="preserve">вої міцності. Ним є різниця між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прогнозним рівнем попиту на пр</w:t>
      </w:r>
      <w:r w:rsidR="00D86E2D">
        <w:rPr>
          <w:rFonts w:ascii="Times New Roman" w:hAnsi="Times New Roman" w:cs="Times New Roman"/>
          <w:sz w:val="28"/>
          <w:szCs w:val="28"/>
          <w:lang w:val="uk-UA"/>
        </w:rPr>
        <w:t xml:space="preserve">одукцію і критичним її обсягом.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 xml:space="preserve">Якщо вказані показники свідчать про </w:t>
      </w:r>
      <w:r w:rsidR="00D86E2D">
        <w:rPr>
          <w:rFonts w:ascii="Times New Roman" w:hAnsi="Times New Roman" w:cs="Times New Roman"/>
          <w:sz w:val="28"/>
          <w:szCs w:val="28"/>
          <w:lang w:val="uk-UA"/>
        </w:rPr>
        <w:t xml:space="preserve">економічну вигідність проекту в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межах його життєвого циклу при прог</w:t>
      </w:r>
      <w:r w:rsidR="00D86E2D">
        <w:rPr>
          <w:rFonts w:ascii="Times New Roman" w:hAnsi="Times New Roman" w:cs="Times New Roman"/>
          <w:sz w:val="28"/>
          <w:szCs w:val="28"/>
          <w:lang w:val="uk-UA"/>
        </w:rPr>
        <w:t xml:space="preserve">нозних рівнях попиту і цінах на </w:t>
      </w:r>
      <w:r w:rsidRPr="005678ED">
        <w:rPr>
          <w:rFonts w:ascii="Times New Roman" w:hAnsi="Times New Roman" w:cs="Times New Roman"/>
          <w:sz w:val="28"/>
          <w:szCs w:val="28"/>
          <w:lang w:val="uk-UA"/>
        </w:rPr>
        <w:t>продукцію, то рішення про інвестування може бути позитивним.</w:t>
      </w:r>
    </w:p>
    <w:p w:rsidR="00E2313C" w:rsidRPr="00E2313C" w:rsidRDefault="00E2313C" w:rsidP="00AF04CA">
      <w:pPr>
        <w:tabs>
          <w:tab w:val="left" w:pos="163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b/>
          <w:sz w:val="28"/>
          <w:szCs w:val="28"/>
          <w:lang w:val="uk-UA"/>
        </w:rPr>
        <w:t>3. Соціальна ефективність інноваційної діяльності</w:t>
      </w:r>
    </w:p>
    <w:p w:rsidR="00AF04CA" w:rsidRDefault="00E2313C" w:rsidP="00AF04CA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За соціально-орієнтованої економіки визначення ефективності інновацій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має обов'язково враховувати їх вплив на соціальне середовище – передбачати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поліпшення якості життя людей.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Pr="00AF04CA" w:rsidRDefault="00E2313C" w:rsidP="00AF04CA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04CA">
        <w:rPr>
          <w:rFonts w:ascii="Times New Roman" w:hAnsi="Times New Roman" w:cs="Times New Roman"/>
          <w:b/>
          <w:sz w:val="28"/>
          <w:szCs w:val="28"/>
          <w:lang w:val="uk-UA"/>
        </w:rPr>
        <w:t>Вплив інновацій на соціальні процеси є різностороннім і може</w:t>
      </w:r>
      <w:r w:rsidR="00AF04CA" w:rsidRPr="00AF04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F04CA">
        <w:rPr>
          <w:rFonts w:ascii="Times New Roman" w:hAnsi="Times New Roman" w:cs="Times New Roman"/>
          <w:b/>
          <w:sz w:val="28"/>
          <w:szCs w:val="28"/>
          <w:lang w:val="uk-UA"/>
        </w:rPr>
        <w:t>характеризуватися такими показниками:</w:t>
      </w:r>
      <w:r w:rsidR="00AF04CA" w:rsidRPr="00AF04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- підвищенням рівня життя населення (завдяки підвищенню доходів та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зростанню забезпеченості населення високоякісними товарами і послугами);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- зміною способу життя населення (шляхом зростання кількості робочих,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місць, підвищення кваліфікаційного та інтелектуального рівнів населення,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формування сучасної культури відпочинку, що сприяє зменшенню кількості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правопорушень тощо);</w:t>
      </w:r>
    </w:p>
    <w:p w:rsidR="00AF04CA" w:rsidRDefault="00E2313C" w:rsidP="00AF04CA">
      <w:pPr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- поліпшенням здоров'я і збільшенням тривалості життя (завдяки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поліпшенню екологічної обстановки, умов праці, скорочення травматизму та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професійних захворювань, підвищення якості медичних послуг та їх розвитку).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4CA">
        <w:rPr>
          <w:rFonts w:ascii="Times New Roman" w:hAnsi="Times New Roman" w:cs="Times New Roman"/>
          <w:b/>
          <w:sz w:val="28"/>
          <w:szCs w:val="28"/>
          <w:lang w:val="uk-UA"/>
        </w:rPr>
        <w:t>Соціальна ефективність інноваційної діяльності може бути двох видів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а) ефективність соціально-цільової спрямованості проекту;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ефективність соціальних результатів інноваційного проекту.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4CA">
        <w:rPr>
          <w:rFonts w:ascii="Times New Roman" w:hAnsi="Times New Roman" w:cs="Times New Roman"/>
          <w:sz w:val="28"/>
          <w:szCs w:val="28"/>
          <w:u w:val="single"/>
          <w:lang w:val="uk-UA"/>
        </w:rPr>
        <w:t>Ефективність соціально-цільової спря</w:t>
      </w:r>
      <w:r w:rsidR="00AF04CA" w:rsidRPr="00AF04CA">
        <w:rPr>
          <w:rFonts w:ascii="Times New Roman" w:hAnsi="Times New Roman" w:cs="Times New Roman"/>
          <w:sz w:val="28"/>
          <w:szCs w:val="28"/>
          <w:u w:val="single"/>
          <w:lang w:val="uk-UA"/>
        </w:rPr>
        <w:t>мованості проекту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>. Вона визнача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ється у разі реалізації спеціального проекту, м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>етою якого є поліпшення соціаль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ного середовища. До таких проектів відносять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ті, що сприяють розвитку грома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дянського суспільства, що особливо акту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альне для пострадянських країн.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результатів таких проектів – підвищення громадянської активності членів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суспільства, зростання кількості громадських організацій, що відстоюють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професійні інтереси чи, наприклад, права споживачів, права людини тощо.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4CA">
        <w:rPr>
          <w:rFonts w:ascii="Times New Roman" w:hAnsi="Times New Roman" w:cs="Times New Roman"/>
          <w:sz w:val="28"/>
          <w:szCs w:val="28"/>
          <w:u w:val="single"/>
          <w:lang w:val="uk-UA"/>
        </w:rPr>
        <w:t>Ефективність соціальних результатів інноваційного проекту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. Така активність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визначається показниками, що характеризують, наприклад, зменшення кількості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професійних захворювань працівників внаслідок поліпшення умов праці, зменшення загальної кількості захворювань завдяки поліпшенню екологічної ситуації,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збільшення кількості раціоналізаторів та винахідників, збільшення кількості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споживаної електроенергії на побутові потреби (як наслідок – збільшення кількості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сучасних побутових пристроїв, що полегшують виконання домашніх робіт) тощо.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4CA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Соціальну ефективність можна розраховувати і в грошовому вираженні.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реалізації масштабного інноваційного проекту в регіоні відбувається загальне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Залежно від масштабу інновацій вона може бути різною. Наприклад, завдяки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зростання кількості робочих місць, відповідно, скорочуються витрати бюджету,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пов'язані з безробіттям; завдяки впровадженню екологічно чистих технологій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економляться кошти на охорону довкілля; з підвищенням ділової активності в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регіоні зростають надходження до місцевого бюджету, розвивається соціальна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інфраструктура; завдяки зростанню освітнього та інтелектуального рівня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населення економляться бюджетні кошти на протидію антисоціальним явищам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та ін. Визначення величини такої ефективності є складним завданням і не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завжди враховується </w:t>
      </w:r>
      <w:proofErr w:type="spellStart"/>
      <w:r w:rsidRPr="00E2313C">
        <w:rPr>
          <w:rFonts w:ascii="Times New Roman" w:hAnsi="Times New Roman" w:cs="Times New Roman"/>
          <w:sz w:val="28"/>
          <w:szCs w:val="28"/>
          <w:lang w:val="uk-UA"/>
        </w:rPr>
        <w:t>інноваторами</w:t>
      </w:r>
      <w:proofErr w:type="spellEnd"/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обґрунтування доцільності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впровадження новацій, особливо коли прямий економічний ефект є значним.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Проте соціальні наслідки реалізації інновацій слід прораховувати в разі їх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негативного спрямування і планувати заходи на відшкодування збитків,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завданих тим, чиє середовище існування було погіршене.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13C" w:rsidRPr="00936BD1" w:rsidRDefault="00E2313C" w:rsidP="00AF04CA">
      <w:pPr>
        <w:tabs>
          <w:tab w:val="left" w:pos="16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13C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 ефективності впровадження новацій є неодмінною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передумовою їх реалізації. Визначення економічної ефективності інноваційних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проектів та програм дає змогу підприємствам обґрунтовано обирати стратегію і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 xml:space="preserve">тактику їх розвитку й реально оцінювати результати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інноваційної діяльності.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Урахування загальнодержавного ефекту від створення і використання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інновацій, їх впливу на загальний розвиток економіки країни є важливим при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виборі пріоритетних напрямів інноваційної діяльності, що підтримуються</w:t>
      </w:r>
      <w:r w:rsidR="00AF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13C">
        <w:rPr>
          <w:rFonts w:ascii="Times New Roman" w:hAnsi="Times New Roman" w:cs="Times New Roman"/>
          <w:sz w:val="28"/>
          <w:szCs w:val="28"/>
          <w:lang w:val="uk-UA"/>
        </w:rPr>
        <w:t>державою.</w:t>
      </w:r>
    </w:p>
    <w:sectPr w:rsidR="00E2313C" w:rsidRPr="00936BD1" w:rsidSect="00EF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50848"/>
    <w:rsid w:val="000938F9"/>
    <w:rsid w:val="000D7EEC"/>
    <w:rsid w:val="001A2229"/>
    <w:rsid w:val="00227461"/>
    <w:rsid w:val="00414E27"/>
    <w:rsid w:val="00555513"/>
    <w:rsid w:val="005678ED"/>
    <w:rsid w:val="006F7BD3"/>
    <w:rsid w:val="007C2A19"/>
    <w:rsid w:val="00813139"/>
    <w:rsid w:val="00936BD1"/>
    <w:rsid w:val="009448C5"/>
    <w:rsid w:val="00950848"/>
    <w:rsid w:val="00987671"/>
    <w:rsid w:val="009B0200"/>
    <w:rsid w:val="00AF04CA"/>
    <w:rsid w:val="00C70F59"/>
    <w:rsid w:val="00D86E2D"/>
    <w:rsid w:val="00DE4DD9"/>
    <w:rsid w:val="00E00D26"/>
    <w:rsid w:val="00E04AC6"/>
    <w:rsid w:val="00E2313C"/>
    <w:rsid w:val="00EB6C6D"/>
    <w:rsid w:val="00ED3EFA"/>
    <w:rsid w:val="00EF692E"/>
    <w:rsid w:val="00F23019"/>
    <w:rsid w:val="00FE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BD1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B6C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49D78-89E9-4AA8-A85F-FFBE0F67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2834</Words>
  <Characters>20213</Characters>
  <Application>Microsoft Office Word</Application>
  <DocSecurity>0</DocSecurity>
  <Lines>404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2017-09-28T17:13:00Z</dcterms:created>
  <dcterms:modified xsi:type="dcterms:W3CDTF">2017-10-05T06:50:00Z</dcterms:modified>
</cp:coreProperties>
</file>