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44" w:rsidRPr="00D92C44" w:rsidRDefault="00D92C44" w:rsidP="00D92C44">
      <w:pPr>
        <w:pBdr>
          <w:bottom w:val="single" w:sz="6" w:space="0" w:color="E5E5E5"/>
        </w:pBdr>
        <w:shd w:val="clear" w:color="auto" w:fill="FFFFFF"/>
        <w:spacing w:after="0" w:line="37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r w:rsidRPr="00D92C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ТЕМА 2.</w:t>
      </w:r>
      <w:hyperlink r:id="rId5" w:history="1">
        <w:r w:rsidRPr="00D92C44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bdr w:val="none" w:sz="0" w:space="0" w:color="auto" w:frame="1"/>
            <w:lang w:eastAsia="ru-RU"/>
          </w:rPr>
          <w:t>ТРАНСНАЦІОНАЛЬНІ КОРПОРАЦІЇ ТА УКРАЇНА</w:t>
        </w:r>
      </w:hyperlink>
    </w:p>
    <w:bookmarkEnd w:id="0"/>
    <w:p w:rsidR="003102BA" w:rsidRPr="00D92C44" w:rsidRDefault="00D92C44" w:rsidP="00D92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Наприкінці XX – на початку XXI ст. спостерігається інтенсивне   зростання зовнішньоекономічної діяльності, в якій транснаціональні корпорації (ТНК) виступають торговцями, інвесторами, розповсюджувачами сучасних технологій, стимуляторами міжнародної трудової міграції.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Ц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і компанії відіграють провідну роль в інтернаціоналізації виробництва, в процесі розширення і поглиблення виробничих зв'язків між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ідприємствами різних країн. На початок третього тисячоліття міжнародне виробництво товарів і послуг у рамках ТНК становило 7% світового ВВП. ТНК займають передові позиції у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ітовому виробництві в галузях електроніки, автомобілебудування, хімічній і фармацевтичній промисловості. З діяльністю ТНК пов'язані сподівання й розчарування більшості країн світу, оскільки ці корпорації створили розвинуту мережу  виробничої,  науково-технічної,  інвестиційної, торгової та культурної взаємозалежності країн і заклали   підвалини   глобальної  економіки.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За офіційним визначенням ЮНКТАД, транснаціональна корпорація (transnational corporation, multinational corporation, multinational company, multinational enterprise) – це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ідприємство, що об'єднує юридичних осіб будь-яких організаційно-правових форм і видів діяльності в двох чи більше країнах і провадить єдину політику і загальну стратегію завдяки одному або декільком центрам прийняття рішень.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Транснаціональні корпорації та їх роль у сучасній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ітовій економіці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Сьогодні світ опинився на порозі нового переділу, але не військово-політичного, а економічного, де головними гравцями будуть уже не держави і навіть не блоки країн, а головні транснаціональні корпорації (ТНК) найбільших промислово розвинених держав. Ставками ж є нові ринки, технології та надприбутки.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Саме ТНК – основний структурний елемент економіки більшості країн,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>пров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ідна сила їх розвитку та підвищення ефективності. Глобальні тенденції інтернаціоналізації виробництва й капіталу, приватизації, стратегічних альянсів і лібералізації зовнішньої торгівлі поставили ТНК у центр світового економічного розвитку.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огляду на них і подальший перерозподіл світових ринків та сфер впливу, можна прогнозувати можливість появи найближчим часом міжнародних суперкорпорацій шляхом злиття, поглинання чи об’єднання найбільших компаній світу.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За даними ООН, зараз у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іті існує більш як 65 тис. ТНК, що контролюють понад 850 тис. афільованих зарубіжних компаній по всьому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іту, у яких задіяно більш як 74 млн. чоловік. При цьому на території промислово розвинених держав розміщується понад 80% материнських компаній і близько 33% афільованих, у країнах, що розвиваються, – відповідно 19,5 і майже 50, у колишніх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іалістичних державах – приблизно 0,5 і 17% [2].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Експансія ТНК є одним із феноменів другої половини двадцятого століття. Особливо значних масштабів цей процес набув в останні десятиліття. Саме ТНК фактично вирішують питання нового економічного і політичного переділу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іту, стоять на межі створення світового наднаціонального уряду.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ідченням тієї ролі, що її відіграють транснаціональні корпорації у світовій політиці й економіці, стало також створення при ООН Центру та Комісії ООН з ТНК, обговорення різноманітних аспектів діяльності корпорацій, як і окремих країн, на рівні спеціалізованих органів ООН.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Інтереси ТНК стоять за війнами та держпереворотами у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країнах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Близького і Середнього Сходу, Латинської Америки, за змінами урядів у Європі й Азії. А результати, що їх отримували при цьому транснаціонали, вимірювалися не десятками і навіть не сотнями мільйонів доларів – лік ішов на мільярди [2].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Сьогодні ТНК перетворилися із суб’єктів на об’єкти міжнародної політики, активно беруть участь у всіх глобальних процесах, що відбуваються у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іті. Транснаціональні корпорації, нарівні з промислово розвиненими країнами, широко проявляються в політиці, економіці, у фінансово-інвестиційній, інформаційній, науково-технічній, військовій, технологічній, екологічній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>сферах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 У зовнішній політиці ТНК реалізують власну корпоративну дипломатію, а для успішного забезпечення внутрішньокорпоративної політики створили свою, корпоративну ідеологію. Поруч із найбільшими державами, вони мають власні численні спецслужби, а зброєю, що її випуска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є,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наприклад, лише «Дженерал дайнемікс», можна озброїти армію не однієї держави.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Дії ТНК за характером і формами прояву у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ітовій політиці й економіці багато в чому збігаються з діяльністю держав, що дозволяє експертам якщо не ототожнювати їх, то принаймні заявляти про ідентичність дій і проявів ТНК та держав у глобальній політиці й економіці. Водночас низка дослідників вважає, що в перспективі ТНК зможуть стати домінуючою силою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ітового господарства, замінивши національні держави в ролі основних його об’єктів.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Зараз провідну роль у глобальних процесах відіграють ТНК </w:t>
      </w:r>
      <w:hyperlink r:id="rId6" w:tgtFrame="_parent" w:history="1">
        <w:r w:rsidRPr="00D92C44">
          <w:rPr>
            <w:rStyle w:val="a3"/>
            <w:rFonts w:ascii="Times New Roman" w:hAnsi="Times New Roman" w:cs="Times New Roman"/>
            <w:color w:val="0384A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США</w:t>
        </w:r>
      </w:hyperlink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 за характером і масштабами торгово-інвестиційної експансії випереджаючи промислові й фінансові компанії інших країн. Але цей розрив поступово скорочується за рахунок посилення позицій ТНК держав Західної Європи та </w:t>
      </w:r>
      <w:hyperlink r:id="rId7" w:tgtFrame="_parent" w:history="1">
        <w:proofErr w:type="gramStart"/>
        <w:r w:rsidRPr="00D92C44">
          <w:rPr>
            <w:rStyle w:val="a3"/>
            <w:rFonts w:ascii="Times New Roman" w:hAnsi="Times New Roman" w:cs="Times New Roman"/>
            <w:color w:val="0384A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Япон</w:t>
        </w:r>
        <w:proofErr w:type="gramEnd"/>
        <w:r w:rsidRPr="00D92C44">
          <w:rPr>
            <w:rStyle w:val="a3"/>
            <w:rFonts w:ascii="Times New Roman" w:hAnsi="Times New Roman" w:cs="Times New Roman"/>
            <w:color w:val="0384A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ії</w:t>
        </w:r>
      </w:hyperlink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 а також появи транснаціональних корпорацій країн, що розвиваються [5].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Діяльність ТНК в Україні та їх вплив на економічний розвиток країни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дним з чинників залучення в Україну іноземних інвестицій є стимулювання діяльності ТНК.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До списку глобальних корпорацій, представлених на вітчизняному ринку можна вІднести Coca-Cola, Samsung, Toyota, Nestle, Nokia, Metro Cash&amp;Carry, Hewlett-Packard, British American Tobacco та деякі інші ТНК [3].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Великі промислові концерни, такі як, наприклад, Westinghouse, ExxonMobil або General Electric, на українському ринку нажаль відсутні. Винятком є Mittal Steel,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для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якої її український актив – Криворіжсталь – проміжна, а не кінцева ланка виробничого ланцюга.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>Серед закордонних інвесторів найбільш інвестиційно-привабливими в Україні є такі галузі економіки: харчова промисловість та переробка сільськогосподарських продуктів – 15,7% від загального обсягу прямих іноземних інвестицій, залучених до України; торгівля – 15,6%; фінансова сфера – 8,5%; машинобудування – 8,0%; транспорт – 7,6%; металургія та обробка металу – 5,4%;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операції з нерухомістю – 4,6%; хі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ічна та нафтохімічна промисловість – 4,1% [3].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Чистий приплив прямих іноземних інвестицій в економіку України склав 7,882 млрд. дол. в січн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і-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грудні 2007 року порівняно з 4,296 млрд. дол. за весь 2006 рік. За 12 місяців 2007 року в підприємства України було вкладено 8,711 млрд. дол. нового капіталу, але в той же час інвестори вивели 1,179 млрд. дол [4].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 цьому для ТНК із країн Європейського Союзу та </w:t>
      </w:r>
      <w:hyperlink r:id="rId8" w:tgtFrame="_parent" w:history="1">
        <w:r w:rsidRPr="00D92C44">
          <w:rPr>
            <w:rStyle w:val="a3"/>
            <w:rFonts w:ascii="Times New Roman" w:hAnsi="Times New Roman" w:cs="Times New Roman"/>
            <w:color w:val="0384A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США</w:t>
        </w:r>
      </w:hyperlink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 найбільш привабливими є українська харчова промисловість,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ідприємства торгівлі, фінансовий сектор, фармацевтика. В саме цих галузях обіг капіталу є швидким, а комерційні ризики – мінімальні. Привабливим для ТНК із промислово розвинутих країн є також інвестування в інфраструктуру бізнес-послуг для обслуговування, в першу чергу,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ідприємств з іноземними інвестиціями.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Російським ТНК та компаніям, які зареєстровані в офшорних зонах, властиві інші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іоритети в інвестуванні: паливно-енергетичний комплекс, хімічна промисловість та металургія. Ця ситуація пояснюється тим, що саме в цих галузях російські ТНК мають конкурентні переваги на світовому ринку і фінансові можливості для закордонного інвестування та розширення своєї ринкової влади за рахунок придбання виробничих потужностей у постсоціалістичних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країнах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При цьому, найбільше російського капіталу вкладено в Полтавську (67% всіх іноземних інвестицій в регіон),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івненську області, АР Крим, міста Київ та Севастополь, а також індустріальні регіони (Донецьку, Дніпропетровську, Запорізьку і Харківську області).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 xml:space="preserve">Окремо треба виділити функціонування транснаціональних корпорацій в нафтогазовій сфері України. Паливно-енергетичний комплекс (ПЕК) в економіці України має виняткове значення, оскільки визначається істотною бюджетоформуючою роллю нафтогазової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сфери та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великою потребою в енергоносіях через значну концентрацію енергоємних виробництв. Разом з тим вітчизняна нафтогазова галузь є досить проблемною внаслідок обмеженості власних запасів газу та нафти, дестабілізації роботи нафтопереробних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ідприємств після розпаду СРСР та нерозвиненості внутрішнього ринку нафтопродуктів. Приватизаційні процеси у ПЕК призвели до приходу на український ринок великих, передусім російських, ТНК. Домінування російських нафтогазових компаній зумовлено традиційною роллю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hyperlink r:id="rId9" w:tgtFrame="_parent" w:history="1">
        <w:r w:rsidRPr="00D92C44">
          <w:rPr>
            <w:rStyle w:val="a3"/>
            <w:rFonts w:ascii="Times New Roman" w:hAnsi="Times New Roman" w:cs="Times New Roman"/>
            <w:color w:val="0384A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</w:t>
        </w:r>
        <w:proofErr w:type="gramEnd"/>
        <w:r w:rsidRPr="00D92C44">
          <w:rPr>
            <w:rStyle w:val="a3"/>
            <w:rFonts w:ascii="Times New Roman" w:hAnsi="Times New Roman" w:cs="Times New Roman"/>
            <w:color w:val="0384A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осії</w:t>
        </w:r>
      </w:hyperlink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як основного експортера вуглеводнів в Україну, геополітичним розташуванням України як транзитера російських енергоносіїв до країн Європи, а також активною експансіоністською політикою російських ТНК щодо придбання потужностей, зокрема нафтопереробних, у країнах СНД та Східної Європи.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Найбільшими компаніями, що нині працюють в Україні,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є: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у сфері нафтопереробки – російські «ЛУКОЙЛ», «ТНК», «Татнефть», «Славнефть», «Группа Альянс», «ЮКОС» та казахстанська «Казахойл» («КазМунайГаз»); в сфері транспортування нафти – російські «Сургутнефтегаз», «Роснефть», «Транснефть», «Сибнефть»; у сфері поставок та транспортування газу – російські «Газпром» та «Ітера» [3].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Діяльність ТНК у нафтопереробній галузі України спрямована передусім на переорієнтацію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hyperlink r:id="rId10" w:tgtFrame="_parent" w:history="1">
        <w:r w:rsidRPr="00D92C44">
          <w:rPr>
            <w:rStyle w:val="a3"/>
            <w:rFonts w:ascii="Times New Roman" w:hAnsi="Times New Roman" w:cs="Times New Roman"/>
            <w:color w:val="0384A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</w:t>
        </w:r>
        <w:proofErr w:type="gramEnd"/>
        <w:r w:rsidRPr="00D92C44">
          <w:rPr>
            <w:rStyle w:val="a3"/>
            <w:rFonts w:ascii="Times New Roman" w:hAnsi="Times New Roman" w:cs="Times New Roman"/>
            <w:color w:val="0384A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осії</w:t>
        </w:r>
      </w:hyperlink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 з експорту сирої нафти на експорт нафтопродуктів, отриманих, зокрема, на українських НПЗ; поглинання з цією метою українських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ідприємств шляхом їх приватизації та акціонування для географічного наближення до ринків споживання нафтопродуктів у Центральній та Західній Європі; додаткове укріплення позицій ТНК на внутрішньому ринку нафтопродуктів України шляхом створення спільних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ідприємств та через розбудову власної збутової мережі.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>Поряд з названими, у нафтопереробній сфері України з’явилися нові російські гравці – «Сиданко», «Уралнефть», «Арчнефтегеология», «Удмуртская ННК», «Ритек», «Полярное сияние», «Чишманефть»та інші, що використовують переробні потужності «Укртатнафти», «Галичини» та «Нафтохіміка Прикарпаття».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Спостерігається також негативний вплив експансії іноземних ТНК на ряд областей української економіки (наприклад, автомобілебудування, тютюнову і харчову промисловість), домінування експортних стратегій завоювання ринку (у тому числі - псевдоінвестиційних), і переважаюча орієнтація ліцензійних і інвестиційних стратегій, що застосовується в Україні, на отримання короткострокових прибутків і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ідті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кошт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ів.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Експансія закордонних ТНК в Україні супроводжується застосуванням “змішаних і “замаскованих” псевдоінвестиційних стратегій. При цьому в багатьох випадках інвестиційні стратегії є інвестиційними лише номінально, тоді як основною причиною їх застосування є не використання виробничого потенціалу України, а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інімізація митних відрахувань. При цьому сума необхідних для псевдоінвестиційного входження капіталовкладень може бути незіставна не тільки з обігом материнської компанії, а навіть з обігом створеного в Україні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ідприємства. Це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ідтвердилося, зокрема, на ринках безалкогольних напоїв і побутової техніки (де інвестицій близько 100 тис. дол. в технології найнижчого рівня виявилося достатньо для отримання основних позицій на ринку).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В цілому, можливості окремих держав протистояти тиску потужних ТНК доводиться визнати досить обмеженими. Тому основне завдання – це не протистояння або боротьба з впливом великих іноземних ТНК, а узгодження їх інтересів з стратегічними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іоритетами економіки України, а також створення власних конкурентноспроможних ТНК.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Українські ТНК: сучасний стан та перспективи розвитку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 xml:space="preserve">Глобальні процеси переділу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ітового ринку торкаються різноманітних галузей, у яких домінують ТНК.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ім того, у найближчому майбутньому, після приєднання України до СОТ, значна частина вітчизняних підприємств стане перед фактом, що не готова до зростання конкуренції на внутрішньому ринку з провідними західними компаніями. Ось чому сьогодні для України актуальне питання: чим відповісти на виклик ТНК, щоб не поглинутися остаточно ними?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Відповідь може бути тільки одна – щоб взаємодіяти з ТНК як в Україні, так і на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ітових ринках, потрібно створювати власні, українські транснаціональні структури, як це зробили раніше </w:t>
      </w:r>
      <w:hyperlink r:id="rId11" w:tgtFrame="_parent" w:history="1">
        <w:r w:rsidRPr="00D92C44">
          <w:rPr>
            <w:rStyle w:val="a3"/>
            <w:rFonts w:ascii="Times New Roman" w:hAnsi="Times New Roman" w:cs="Times New Roman"/>
            <w:color w:val="0384A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Китай</w:t>
        </w:r>
      </w:hyperlink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 </w:t>
      </w:r>
      <w:hyperlink r:id="rId12" w:tgtFrame="_parent" w:history="1">
        <w:r w:rsidRPr="00D92C44">
          <w:rPr>
            <w:rStyle w:val="a3"/>
            <w:rFonts w:ascii="Times New Roman" w:hAnsi="Times New Roman" w:cs="Times New Roman"/>
            <w:color w:val="0384A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Росія</w:t>
        </w:r>
      </w:hyperlink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 </w:t>
      </w:r>
      <w:hyperlink r:id="rId13" w:tgtFrame="_parent" w:history="1">
        <w:r w:rsidRPr="00D92C44">
          <w:rPr>
            <w:rStyle w:val="a3"/>
            <w:rFonts w:ascii="Times New Roman" w:hAnsi="Times New Roman" w:cs="Times New Roman"/>
            <w:color w:val="0384A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Індія</w:t>
        </w:r>
      </w:hyperlink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 </w:t>
      </w:r>
      <w:hyperlink r:id="rId14" w:tgtFrame="_parent" w:history="1">
        <w:r w:rsidRPr="00D92C44">
          <w:rPr>
            <w:rStyle w:val="a3"/>
            <w:rFonts w:ascii="Times New Roman" w:hAnsi="Times New Roman" w:cs="Times New Roman"/>
            <w:color w:val="0384A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Індонезія</w:t>
        </w:r>
      </w:hyperlink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 </w:t>
      </w:r>
      <w:hyperlink r:id="rId15" w:tgtFrame="_parent" w:history="1">
        <w:r w:rsidRPr="00D92C44">
          <w:rPr>
            <w:rStyle w:val="a3"/>
            <w:rFonts w:ascii="Times New Roman" w:hAnsi="Times New Roman" w:cs="Times New Roman"/>
            <w:color w:val="0384A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Мексика</w:t>
        </w:r>
      </w:hyperlink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 </w:t>
      </w:r>
      <w:hyperlink r:id="rId16" w:tgtFrame="_parent" w:history="1">
        <w:r w:rsidRPr="00D92C44">
          <w:rPr>
            <w:rStyle w:val="a3"/>
            <w:rFonts w:ascii="Times New Roman" w:hAnsi="Times New Roman" w:cs="Times New Roman"/>
            <w:color w:val="0384A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Венесуела</w:t>
        </w:r>
      </w:hyperlink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 та ін. (не беручи до уваги промислово розвинених країн, де існують сотні великих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ТНК).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Досвід цих держав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ідчить, що національний капітал здатний витримувати конкуренцію з ТНК лише тоді, якщо він сам структурується в потужні фінансово-промислові утворення, адекватні міжнародним аналогам і здатні проводити активну зовнішньоекономічну політику.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Водночас, як бачиться, створити корпорації повного замкненого циклу, які займалися б видобутком сировини, її переробкою, виготовленням із неї продукції та її реалізацією, Україна може лише в окремих галузях, на що знадобиться чимало часу. Хоча деякі кроки в цьому напрямі вже зроблено. Так, протягом останніх двох років на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ізних рівнях розглядається можливість створення в енергетичній галузі державної вертикально інтегрованої компанії «Нафта України» на базі «Укрнафти», ЗАТ «Укртатнафта» і НПК «Галичина», що мала б у своєму складі 700-800 АЗС і контролювала б до 15% ринку світлих нафтопродуктів країни [3].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Водночас упритул до створення вітчизняної ТНК – інтегрованої нафтової компанії з усіма елементами технологічного ланцюжка «видобуток –   переробка – збут» –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ідійшли Приватбанк та УкрСиббанк. Структури Приватбанку володіють найбільшою в Україні мережею АЗС «Сентоза», контрольним пакетом акцій НПЗ «Нафтохімік Прикарпаття» і більш як 30%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>акцій НПК «Галичина».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Певних успіхів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плані транснаціоналізації бізнесу домоглася корпорація «Індустріальний союз Донбасу» (ІСД). Основна увага при цьому приділяється побудові вертикально інтегрованих холдингів по ланцюжку «вугілля – кокс – метал». При цьому ІСД створює ТНК не усіченого (без закордонної інфраструктури), а повного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проф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ілю, для чого компанія активно виходить на закордонні ринки, залучає нових партнерів, разом з іноземними фірмами бере участь у створенні консорціумів для просування на зовнішній ринок своєї продукції.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Близька до створення ТНК повного циклу і донецька «Систем кепітал менеджмент», яка зосередила контроль над такими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г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ігантами, як «Азовсталь», Єнакіївський металургійний завод, Авдіївський коксохімзавод, що володіє великими пакетами акцій Керченського меткомбінату, Харцизького трубного заводу, об’єднання «Запоріжкокс» [4].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Фактично повний замкнений цикл метвиробництва, властивого ТНК, має і держкомбінат «Криворіжсталь». Значну увагу створенню вітчизняних ТНК,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ідтримці, розвитку та підвищенню конкурентоздатності на світових ринках продукції українських підприємств приділяють керівництво провідних харківських промислових об’єднань і облдержадміністрація. Така робота в регіоні проводиться на основі пріоритетності за галузевим принципом. У галузі авіабудування потенційними учасниками ТНК є Харківський авіазавод і завод «ФЕД», енергообладнання – ВАТ «Турбоатом» і об’єднання «Електроважмаш», електроніки – Харківський електроапаратний завод, ВО «Моноліт», Харківський релейний завод тощо.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Водночас процес створення українських ТНК може бути значно прискорений і розширений у галузевому спектрі у разі залучення іноземних партнерів. Для цього компанії, що співробітничають з іноземними фірмами на основі спеціалізації та кооперування, можуть формувати з ними спільні структури, вступати в стратегічні альянси шляхом створення міждержавних корпорацій.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Зараз для великих вітчизняних господарських структур (до початку 2003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>року в Україні налічувалося близько 36 тис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орпоративних акціонерних об’єднань) найпривабливішим варіантом створення міжнаціональних корпорацій може бути їх об’єднання з російськими галузевими партнерами, що, звісно, не виключає можливості появи й українсько-американських, українсько-канадських чи українсько-німецьких корпорацій. Розгортання вітчизняних ТНК, у тому числі транснаціональних ФПГ з участю капіталу </w:t>
      </w:r>
      <w:hyperlink r:id="rId17" w:tgtFrame="_parent" w:history="1">
        <w:r w:rsidRPr="00D92C44">
          <w:rPr>
            <w:rStyle w:val="a3"/>
            <w:rFonts w:ascii="Times New Roman" w:hAnsi="Times New Roman" w:cs="Times New Roman"/>
            <w:color w:val="0384A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Росії</w:t>
        </w:r>
      </w:hyperlink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та інших країн СНД, може стати визначальним чинником реінтеграції сегментів пострадянського економічного простору і має перспективи виходу на ринки третіх країн. В Україні й </w:t>
      </w:r>
      <w:hyperlink r:id="rId18" w:tgtFrame="_parent" w:history="1">
        <w:r w:rsidRPr="00D92C44">
          <w:rPr>
            <w:rStyle w:val="a3"/>
            <w:rFonts w:ascii="Times New Roman" w:hAnsi="Times New Roman" w:cs="Times New Roman"/>
            <w:color w:val="0384A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Росії</w:t>
        </w:r>
      </w:hyperlink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 існує багато однопрофільних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ідприємств, які можуть, об’єднавши зусилля і можливості, усунувши паралелізм у роботі й конкуренцію між собою, створити потужне корпоративне об’єднання, здатне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пос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істи серйозну позицію на зовнішніх ринках. Тому створення українсько-російських ТНК може послужити вагомим стимулом як для розширення виробничих потужностей структур, що входитимуть до складу цих ТНК, так і для збільшення їхніх фінансових показників, що, у свою чергу, сприятиме подальшій диверсифікації виробництва, нарощуванню темпів і обсягів випущеної продукції, а також дозволить інтегрувати двосторонній економічний прості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на порядок вище, аніж десяток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іждержавних угод і домовленостей.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Певні кроки на цьому шляху вже зроблено. 1994 року було створено українсько-російські ТНК «Укртатнафта» і «РУНО». У жовтні 1996 року з участю України та </w:t>
      </w:r>
      <w:hyperlink r:id="rId19" w:tgtFrame="_parent" w:history="1">
        <w:r w:rsidRPr="00D92C44">
          <w:rPr>
            <w:rStyle w:val="a3"/>
            <w:rFonts w:ascii="Times New Roman" w:hAnsi="Times New Roman" w:cs="Times New Roman"/>
            <w:color w:val="0384A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Росії</w:t>
        </w:r>
      </w:hyperlink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 було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ідписано угоду про створення транснаціональної ФПГ з експлуатації та ремонту авіатехніки цивільної авіації країн-учасниць СНД, 1997 року – двосторонню угода про співробітництво в галузі розробки, виробництва, поставок й експлуатації авіатехніки, 1998-го – про виробничу кооперацію, 1999-го – організовано міжнародний консорціум «Середній транспортний літак», а 2003 року – підготовлено Програму держпідтримки продажів авіатехніки українського та російського виробництва підприємствам цивільної авіації України та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Р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осійської Федерації на 2003-2010 роки [5].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>Російський «Газпром» спільно з Харцизьким трубним заводом створили концерн «Сталь-труби-газ». Обговорюються також питання створення українсько-російських «Транснаціональної алюмінієвої компанії» та «Міжнародних авіамоторів», корпорацій з випуску титану й титанового прокату, вантажних автомобілів.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Водночас становлення українських ТНК, попри наявність відповідної правової бази, перебуває на початковому етапі, тоді як процес створення таких структур набуває значних масштабів у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Р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осії, де ряд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пров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ідних корпорацій останніми роками за результатами своєї діяльності посідає високі позиції в рейтингу 500 найбільших ТНК світу.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Процесу створення сучасних українських ТНК спільно з компаніями країн СНД може сприяти «Угода про сприяння у створенні та розвитку виробничих, комерційних, кредитно-фінансових і змішаних транснаціональних об’єднань»,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ідписана у квітні 1994 року главами урядів усіх країн-учасниць Співдружності, а також Конвенція про транснаціональні корпорації (ратифікована Верховною Радою України в липні 1999 року), яку підписали глави урядів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hyperlink r:id="rId20" w:tgtFrame="_parent" w:history="1">
        <w:r w:rsidRPr="00D92C44">
          <w:rPr>
            <w:rStyle w:val="a3"/>
            <w:rFonts w:ascii="Times New Roman" w:hAnsi="Times New Roman" w:cs="Times New Roman"/>
            <w:color w:val="0384A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</w:t>
        </w:r>
        <w:proofErr w:type="gramEnd"/>
        <w:r w:rsidRPr="00D92C44">
          <w:rPr>
            <w:rStyle w:val="a3"/>
            <w:rFonts w:ascii="Times New Roman" w:hAnsi="Times New Roman" w:cs="Times New Roman"/>
            <w:color w:val="0384A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ірменії</w:t>
        </w:r>
      </w:hyperlink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 </w:t>
      </w:r>
      <w:hyperlink r:id="rId21" w:tgtFrame="_parent" w:history="1">
        <w:r w:rsidRPr="00D92C44">
          <w:rPr>
            <w:rStyle w:val="a3"/>
            <w:rFonts w:ascii="Times New Roman" w:hAnsi="Times New Roman" w:cs="Times New Roman"/>
            <w:color w:val="0384A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Білорусі</w:t>
        </w:r>
      </w:hyperlink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 Киргизії, </w:t>
      </w:r>
      <w:hyperlink r:id="rId22" w:tgtFrame="_parent" w:history="1">
        <w:r w:rsidRPr="00D92C44">
          <w:rPr>
            <w:rStyle w:val="a3"/>
            <w:rFonts w:ascii="Times New Roman" w:hAnsi="Times New Roman" w:cs="Times New Roman"/>
            <w:color w:val="0384A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Молдови</w:t>
        </w:r>
      </w:hyperlink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, Росії, Таджикистану й України. Конвенція, зокрема, визначає сутність, порядок створення та реєстрації таких корпорацій, держпідтримку і стимулювання їхньої діяльності, відповідальність учасників, право власності на прибуток і вироблену продукцію, правові основи регулювання корпоративних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іально-трудових відносин, порядок вирішення спорів тощо. Найважливішими позитивними моментами конвенції є те, що вона вводить у правове поле країн СНД поняття «транснаціональна корпорація», яке відповідає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ітовій практиці регулювання діяльності ТНК, стимулює формування корпоративних структур із розміщенням основного підприємства в базовій, а його філій – у приймаючих країнах.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Таким чином, створення українських ТНК дозволить певною мірою захистити національні економічні інтереси, сприятиме подальшому розвитку українських господарських структур, інтернаціоналізації їхнього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 xml:space="preserve">виробництва й капіталу, інтеграції України у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ітову економіку, її участі в глобальних трансформаційних процесах.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Загальна характеристика основних ТНК України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"УкрАВТО"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Загальні відомості. "УкрАВТО" – транснаціональна автомобільна компанія. Найкрупніший в Україні виробник автомобілів, дистриб'ютор і постачальник сервісних послуг. Експортує автомобілі в країни СНД і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далекого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зарубіжжя.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Виробля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є,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імпортує і експортує легкові автомобілі ЗАЗ, "Mercedes-Benz", "Chrysler", "Jeep", "Dodge", "Opel", "Chevrolet", "Toyota", "Nissan", "Renault", "Daewoo", "Lada", "Landmark", "Chery", грузовики і автобуси "I-Van", "TATA", "JAC", "Dong Feng".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Виробництво і обслуговування автомобілів вимагає налагодженого циклу поставки запасних частин на всі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ідприємства корпорації. Компанія "ЗіпАВТО", що забезпечує підприємства запчастинами, пропонує продукцію відомих торгових марок виробників. Серед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них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BP, "Castrol", "Fram", ABS, "Bilstein", "Ruville", "Bosal", "Valeo", "Eyquem"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ін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D92C44">
        <w:rPr>
          <w:rFonts w:ascii="Times New Roman" w:hAnsi="Times New Roman" w:cs="Times New Roman"/>
          <w:color w:val="555555"/>
          <w:sz w:val="28"/>
          <w:szCs w:val="28"/>
          <w:lang w:val="en-US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Активи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До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складу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корпорації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"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УкрАВТО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"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входять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:</w:t>
      </w:r>
      <w:r w:rsidRPr="00D92C44">
        <w:rPr>
          <w:rFonts w:ascii="Times New Roman" w:hAnsi="Times New Roman" w:cs="Times New Roman"/>
          <w:color w:val="555555"/>
          <w:sz w:val="28"/>
          <w:szCs w:val="28"/>
          <w:lang w:val="en-US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•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заводи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виробництва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автомобілів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–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два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Україні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два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 </w:t>
      </w:r>
      <w:hyperlink r:id="rId23" w:tgtFrame="_parent" w:history="1">
        <w:r w:rsidRPr="00D92C44">
          <w:rPr>
            <w:rStyle w:val="a3"/>
            <w:rFonts w:ascii="Times New Roman" w:hAnsi="Times New Roman" w:cs="Times New Roman"/>
            <w:color w:val="0384A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Польщі</w:t>
        </w:r>
      </w:hyperlink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 (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тому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числі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український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ЗАЗ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польський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FSO);</w:t>
      </w:r>
      <w:r w:rsidRPr="00D92C44">
        <w:rPr>
          <w:rFonts w:ascii="Times New Roman" w:hAnsi="Times New Roman" w:cs="Times New Roman"/>
          <w:color w:val="555555"/>
          <w:sz w:val="28"/>
          <w:szCs w:val="28"/>
          <w:lang w:val="en-US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•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заводи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виробництва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комплектуючих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– 10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Україні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12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 </w:t>
      </w:r>
      <w:hyperlink r:id="rId24" w:tgtFrame="_parent" w:history="1">
        <w:r w:rsidRPr="00D92C44">
          <w:rPr>
            <w:rStyle w:val="a3"/>
            <w:rFonts w:ascii="Times New Roman" w:hAnsi="Times New Roman" w:cs="Times New Roman"/>
            <w:color w:val="0384A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Польщі</w:t>
        </w:r>
      </w:hyperlink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;</w:t>
      </w:r>
      <w:r w:rsidRPr="00D92C44">
        <w:rPr>
          <w:rFonts w:ascii="Times New Roman" w:hAnsi="Times New Roman" w:cs="Times New Roman"/>
          <w:color w:val="555555"/>
          <w:sz w:val="28"/>
          <w:szCs w:val="28"/>
          <w:lang w:val="en-US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•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автосалони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пункти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продажів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– 400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Україні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76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 </w:t>
      </w:r>
      <w:hyperlink r:id="rId25" w:tgtFrame="_parent" w:history="1">
        <w:r w:rsidRPr="00D92C44">
          <w:rPr>
            <w:rStyle w:val="a3"/>
            <w:rFonts w:ascii="Times New Roman" w:hAnsi="Times New Roman" w:cs="Times New Roman"/>
            <w:color w:val="0384A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Польщі</w:t>
        </w:r>
      </w:hyperlink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;</w:t>
      </w:r>
      <w:r w:rsidRPr="00D92C44">
        <w:rPr>
          <w:rFonts w:ascii="Times New Roman" w:hAnsi="Times New Roman" w:cs="Times New Roman"/>
          <w:color w:val="555555"/>
          <w:sz w:val="28"/>
          <w:szCs w:val="28"/>
          <w:lang w:val="en-US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•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сервісні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центри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– 222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Україні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192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 </w:t>
      </w:r>
      <w:hyperlink r:id="rId26" w:tgtFrame="_parent" w:history="1">
        <w:r w:rsidRPr="00D92C44">
          <w:rPr>
            <w:rStyle w:val="a3"/>
            <w:rFonts w:ascii="Times New Roman" w:hAnsi="Times New Roman" w:cs="Times New Roman"/>
            <w:color w:val="0384A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Польщі</w:t>
        </w:r>
      </w:hyperlink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D92C44">
        <w:rPr>
          <w:rFonts w:ascii="Times New Roman" w:hAnsi="Times New Roman" w:cs="Times New Roman"/>
          <w:color w:val="555555"/>
          <w:sz w:val="28"/>
          <w:szCs w:val="28"/>
          <w:lang w:val="en-US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Крім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того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корпорація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виступає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акціонером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фінансової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групи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"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Автоальянс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",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компаній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страховок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"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Дженералі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Гарант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Страхування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"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"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Дженералі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Гарант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Страхування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життя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",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компанії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міжнародних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вантажоперевезеннях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"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Транськапітал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",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туристичної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компанії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"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Гермес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Тревел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Груп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",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декількох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ресторанів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Києві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Київській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області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D92C44">
        <w:rPr>
          <w:rFonts w:ascii="Times New Roman" w:hAnsi="Times New Roman" w:cs="Times New Roman"/>
          <w:color w:val="555555"/>
          <w:sz w:val="28"/>
          <w:szCs w:val="28"/>
          <w:lang w:val="en-US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Володіє мережею АЗС "УкрАВТО", митно-ліцензійними складами в Києві,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>Донецьку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і С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імферополі та іншими активами.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Власність. Ключовий акціонер корпорації – Таріел Васадзе, відомий український бізнесмен грузинського походження і народний депутат України від Блоку Юл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ії Т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імошенко.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В лютому 2008 року журнал "Фокус" оцінив стан співвласника "УкрАВТО" в $780 млн. А декілька місяців опісля видання "Кореспондент",  вивчаючи його активи, прийшло до висновку, що стан автомобільного магната "тягне" на $2,1 млрд. завдяки чому в ТОП-50 українських товстосумів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ін зайняв 14-е місце.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"Індустріальний Союз Донбасу" (ІСД)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Загальні відомості. Корпорація "Індустріальний Союз Донбасу" (ІСД) входить до числа найбільших транснаціональних компаній, що займають ключові позиції у виробництві сталі Центральн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о-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і Східно-європейського регіону.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виробничою потужністю більше 10 млн. т сталі в рік металургійна група корпорації перебуває в трійці лідерів сталеливарної промисловості України, а також входить до числа 30 найбільших металургійних компаній світу за версією Міжнародного інституту чавуну і сталі.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Підприємства групи ІСД здійснюють поставки порядку трьом тисячам клієнтів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більш ніж 40 країн світу.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Корпорація заснована в 1995 році в Донецьку.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Активи. ІСД інвестує засоби в ринки Східної і Центральної Європи, що розвиваються, – Україну, Польщу, Угорщину, Чехію.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 корпорацію входять наступні металургійні активи: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•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ВАТ "Алчевський металургійний комбінат" (Алчевськ, Україна);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• ВАТ "Дніпровський металургійний комбінат ім. Дзержинського" (Дніпродзержинськ, Україна);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• "ІСД - Дунаферр" (Дунайварош, Угорщина);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• "ІСД - Гута Ченстохова" (Ченстохова, Польща);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>• ВАТ "Дніпропетровський трубний завод" (Дніпропетровськ, Україна);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• ВАТ "Алчевськкокс" (Алчевськ, Україна);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• Краматорський металургійний завод ім. Куйбишева (Краматорськ, Україна);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• Армавірський металургійний завод (Армаві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 Росія).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Торгові партнери корпорації – компанія "Дуферко і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ТОВ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" "Українська гірничо-металургійна компанія".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Інвестиції. На своїх підприємствах корпорація здійснює планомірну інвестиційну політику, направлену на їх модернізацію і реконструкцію. Загальний запланований об'є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інвестицій на 2005-2011 рр. – 2,7 млрд. дол. </w:t>
      </w:r>
      <w:hyperlink r:id="rId27" w:tgtFrame="_parent" w:history="1">
        <w:r w:rsidRPr="00D92C44">
          <w:rPr>
            <w:rStyle w:val="a3"/>
            <w:rFonts w:ascii="Times New Roman" w:hAnsi="Times New Roman" w:cs="Times New Roman"/>
            <w:color w:val="0384A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США</w:t>
        </w:r>
      </w:hyperlink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В 2007 році ІСД досягла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іку семирічного інвестиційного плану на своїх заводах, вклавши в модернізацію більше $1 млрд. Завдяки обширній програмі вже до 2009-2010 рр. виробнича потужність сталеливарних підприємств корпорації виросте до 15-16 млн. т в рік. Основні інвестиції направлені на поліпшення екологічних показників, енергозбереження, збільшення виробничих потужностей, розширення асортименту випущеної продукції, а також поліпшення її якості.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Керівництво і власники. Голова ради директорів корпорації ІСД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–в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ідомий український бізнесмен і меценат Сергій Тарута. Генеральний      директор – Олег Мкртчан.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 числі ключових співвласників перебувають ті ж С.Тарута і О.Мкртчан, а також Віталій Гайдук – колишній віце-прем'єр-міністр України з питань ТЕК, який нині очолює групу радників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П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рем'єра Юлії Тімошенко.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Всі три співвласники ІСД, згідно ряду рейтингів, з мільярдними статками входять до числа найбагатших українців.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Спорт. Корпорація фінансує спортивний клуб ІСД, який надає фінансову і матеріальну підтримку українським перспективним спортсменам, ветеранам спорту, спортсменам-інвалідам, виступає організатором чемпіонатів і турнірів.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>Крім того, в числі спортивних активів групи – футбольний клуб "Металіст" (Донецьк), який виступає в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П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рем'єр-лізі України.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Кондитерська корпорація "ROSHEN"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Загальні відомості. Кондитерська корпорація "ROSHEN" – лідер національного ринку кондитерський виробів. Близько 25% всіх українських солодощів випускається на фабриках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ідприємства – Київської, Вінницької, Маріупольської і Кременчуцької.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 2001 році до корпорації "ROSHEN" увійшла Липецька кондитерська фабрика "Ліконф" (Росія), в 2006-м – Клайпедська кондитерська фабрика (Литва).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В асортименті корпорації більше 200 видів цукерок, шоколаду, карамелі, печива, вафель, мармеладу і тортів. Корпорація працює з 40 дистриб'юторами в Україні і 100 – в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країнах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СНГ. Продукція експортується до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Р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осії, </w:t>
      </w:r>
      <w:hyperlink r:id="rId28" w:tgtFrame="_parent" w:history="1">
        <w:r w:rsidRPr="00D92C44">
          <w:rPr>
            <w:rStyle w:val="a3"/>
            <w:rFonts w:ascii="Times New Roman" w:hAnsi="Times New Roman" w:cs="Times New Roman"/>
            <w:color w:val="0384A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Казахстану</w:t>
        </w:r>
      </w:hyperlink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 </w:t>
      </w:r>
      <w:hyperlink r:id="rId29" w:tgtFrame="_parent" w:history="1">
        <w:r w:rsidRPr="00D92C44">
          <w:rPr>
            <w:rStyle w:val="a3"/>
            <w:rFonts w:ascii="Times New Roman" w:hAnsi="Times New Roman" w:cs="Times New Roman"/>
            <w:color w:val="0384A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Узбекистану</w:t>
        </w:r>
      </w:hyperlink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 </w:t>
      </w:r>
      <w:hyperlink r:id="rId30" w:tgtFrame="_parent" w:history="1">
        <w:r w:rsidRPr="00D92C44">
          <w:rPr>
            <w:rStyle w:val="a3"/>
            <w:rFonts w:ascii="Times New Roman" w:hAnsi="Times New Roman" w:cs="Times New Roman"/>
            <w:color w:val="0384A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Молдови</w:t>
        </w:r>
      </w:hyperlink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 </w:t>
      </w:r>
      <w:hyperlink r:id="rId31" w:tgtFrame="_parent" w:history="1">
        <w:r w:rsidRPr="00D92C44">
          <w:rPr>
            <w:rStyle w:val="a3"/>
            <w:rFonts w:ascii="Times New Roman" w:hAnsi="Times New Roman" w:cs="Times New Roman"/>
            <w:color w:val="0384A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Естонії</w:t>
        </w:r>
      </w:hyperlink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 </w:t>
      </w:r>
      <w:hyperlink r:id="rId32" w:tgtFrame="_parent" w:history="1">
        <w:r w:rsidRPr="00D92C44">
          <w:rPr>
            <w:rStyle w:val="a3"/>
            <w:rFonts w:ascii="Times New Roman" w:hAnsi="Times New Roman" w:cs="Times New Roman"/>
            <w:color w:val="0384A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Латвії</w:t>
        </w:r>
      </w:hyperlink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 </w:t>
      </w:r>
      <w:hyperlink r:id="rId33" w:tgtFrame="_parent" w:history="1">
        <w:r w:rsidRPr="00D92C44">
          <w:rPr>
            <w:rStyle w:val="a3"/>
            <w:rFonts w:ascii="Times New Roman" w:hAnsi="Times New Roman" w:cs="Times New Roman"/>
            <w:color w:val="0384A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Литви</w:t>
        </w:r>
      </w:hyperlink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 </w:t>
      </w:r>
      <w:hyperlink r:id="rId34" w:tgtFrame="_parent" w:history="1">
        <w:r w:rsidRPr="00D92C44">
          <w:rPr>
            <w:rStyle w:val="a3"/>
            <w:rFonts w:ascii="Times New Roman" w:hAnsi="Times New Roman" w:cs="Times New Roman"/>
            <w:color w:val="0384A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США</w:t>
        </w:r>
      </w:hyperlink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 </w:t>
      </w:r>
      <w:hyperlink r:id="rId35" w:tgtFrame="_parent" w:history="1">
        <w:r w:rsidRPr="00D92C44">
          <w:rPr>
            <w:rStyle w:val="a3"/>
            <w:rFonts w:ascii="Times New Roman" w:hAnsi="Times New Roman" w:cs="Times New Roman"/>
            <w:color w:val="0384A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Канади</w:t>
        </w:r>
      </w:hyperlink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 </w:t>
      </w:r>
      <w:hyperlink r:id="rId36" w:tgtFrame="_parent" w:history="1">
        <w:r w:rsidRPr="00D92C44">
          <w:rPr>
            <w:rStyle w:val="a3"/>
            <w:rFonts w:ascii="Times New Roman" w:hAnsi="Times New Roman" w:cs="Times New Roman"/>
            <w:color w:val="0384A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Німеччини</w:t>
        </w:r>
      </w:hyperlink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та </w:t>
      </w:r>
      <w:hyperlink r:id="rId37" w:tgtFrame="_parent" w:history="1">
        <w:r w:rsidRPr="00D92C44">
          <w:rPr>
            <w:rStyle w:val="a3"/>
            <w:rFonts w:ascii="Times New Roman" w:hAnsi="Times New Roman" w:cs="Times New Roman"/>
            <w:color w:val="0384A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Ізраїлю</w:t>
        </w:r>
      </w:hyperlink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Персонал. Кількість працівників власне корпорації – 240 чоловік. Кількість працівників на кондитерських фабриках: Київської – 3500, Вінницької – 2270, Маріупольської – 1160, Кременчуцької – 985, Липецької – 1200. На молочному комбінаті "Бершадьмолоко" – 415. В логістичному центрі – 375.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Виробництво. В 2007 році реалізація продукції "ROSHEN" склала більше $650 млн. (майже на 25% більше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порівнянні з 2006-м). Загальний об'єм виробництва кондитерської продукції – 350 тис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(на 13% більше, ніж в 2006-му). Для українського ринку корпорація провела 150 тис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продукції (на 11% більше, ніж роком раніше).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Інвестиції. В 2007 році "ROSHEN" інвестувала в розвиток виробництва і капітальне будівництво близько 100 млн. євро.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Проведена модернізація устаткування Маріупольської, Київської і Кременчуцької кондитерських фабрик (КФ) на загальну суму $13,3 млн. Закуплено автотехніки на $1,7 млн.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В 2007 році виробничі об'єкти корпорації "ROSHEN" сертифіковані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>відповідно до вимог міжнародних стандартів якості і безпеки продуктів харчування ISO 22000:2005.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Власність. Разом з корпораціями і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ідприємствами "Богдан", "Агропродінвест", "Ленінська кузня", "ISTA", "Укравтозапчасть", "Рідна марка", "5 канал" і іншими активами корпорація "ROSHEN" входить до складу Групи "Укрпромінвест".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Ключовий співвласник Групи – відомий український бізнесмен і політик, екс-нардеп, міні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стр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закордонних справ України Петро Порошенко.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"Систем Кепітал Менеджмент" (СКМ)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Загальні відомості. "Систем Кепітал Менеджмент" (СКМ) – найбільша фінансово-промислова група України. Діяльність сконцентрована в чотирьох основних сферах: металургія і видобуток вугілля; виробництво електроенергії; банківська справа і страхування; телекомунікації.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ім того, СКМ володіє і управляє активами в інших секторах бізнесу, включаючи нерухомість, медіа-бізнес, видобування і переробку глини, роздрібну торгівлю, машинобудування, виробництво пива, автозаправні станції, спорт.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ім українських активів СКМ володіє компаніями в країнах Євросоюзу і </w:t>
      </w:r>
      <w:hyperlink r:id="rId38" w:tgtFrame="_parent" w:history="1">
        <w:r w:rsidRPr="00D92C44">
          <w:rPr>
            <w:rStyle w:val="a3"/>
            <w:rFonts w:ascii="Times New Roman" w:hAnsi="Times New Roman" w:cs="Times New Roman"/>
            <w:color w:val="0384A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Швейцарії</w:t>
        </w:r>
      </w:hyperlink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 2007 році консолідований дохід підприємств групи склав $9,563 млрд. Консолідовані активи групи в 2007-м склали $19,903 млрд. Згідно даних звітності СКМ за стандартами МСФО, цей показник більш ніж на 75% перевищив аналогічний показник попереднього року.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Компанія СКМ заснована в 2000 році. Головний офіс розташований в Донецьку. Генеральний директор – Олег Попів. Основний акціонер (володіє 90% акцій) –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інат Ахметов, народний депутат України від Партії регіонів і, згідно ряду рейтингів, найбагатший українець.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СКМ володіє контрольними пакетами акцій більше 90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ідприємств (включаючи опосередковане володіння), на яких трудяться близько 165 тис. людей. Входить до числа найбільших вітчизняних інвесторів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українській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>економіці. В період з 2006 по 2010 рр. СКМ запланувала інвестувати в національну економіку близько $6 млрд.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Гірничо-металургійні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ідприємства СКМ, з'єднані в групу "Метінвест", щорічно видобувають 10,8 млн. т сталі. Частка "Донбасівської паливно-енергетичної компанії" (ДПЕК), енергетичного бізнесу СКМ, складає 22% всього виробництва електроенергії українськими теплоелектростанціями. Два банки і дві страхові компанії займають лідируючі позиції на фінансовому ринку країни. Телекомунікаційний бізнес СКМ, що динамічно розвивається, займає друге місце на ринку фіксованого зв'язку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ісля державного оператора "Укртелеком".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СКМ володіє 44% акцій компанії "Астеліт", яка управляє третьою по кількості абонентів українським оператором мобільного зв'язку life:).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Напрямки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бізнесу. Зараз домінуюче положення в групі, як по об'ємах виробництва, так і по об'ємах прибутку, займають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ідприємства важкої промисловості. Проте здійснювана стратегія реструктуризації бізнесу групи припускає збільшення частки постіндустріальних напрямів – фінансового, телекомунікаційного, медиа- та інших – в загальній структурі бізнесу групи СКМ.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метою підвищення ефективності управління підприємствами в рамках однієї галузі або єдиного ланцюга створення вартості, у складі групи виділені галузеві холдинги "Метінвест" (гірничо-металургійний сектор), "ДТЕК" (енергетичний сектор) "Фарлеп-Інвест" (телекомунікаційний сектор), "Еста Холдинг" (нерухомість). Надалі планується продовжити формування галузевих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холдингів і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інших напрямах бізнесу групи СКМ.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Ц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ільова структура бізнесу СКМ: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Активи. До групи "Метінвест" входять 23 українських і зарубіжних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ідприємства. В їх числі ряд гірничо-збагачувальних комбінатів, об'єднання "Краснодонуголь", "Авдєєвський коксохімічний завод", меткомбінат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 xml:space="preserve">"Азовсталь", "Єнакієвський металургійний завод", "Харцизький трубний завод", та ін. В Європі "Метінвест" представлений прокатними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ідприємствами "Ferriera Valsider", "Trametal" (Італія), "Promet Steel" (Болгарія) і "Spartan UK" (Великобританія). Ключовий партнер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г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ірничо-металургійного бізнесу СКМ – "Смарт-холдинг" російського бізнесмена Вадима Новінського.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В числі енергетичних компаній, контрольованих ДТЕК: ВАТ "Павлоградуголь", шахта "Комсомолець Донбасу",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ТОВ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"Моспінське вугілляпереробне підприємство", Зуєвська, Кураховська і Луганська теплоелектростанції, що входять до складу компанії ТОВ "Востокенерго" та ін.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Фінансові активи групи складають "Перший український міжнародний банк", "Донгорбанк", компанії страховок "АСКА" і "АСКА-життя".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Телекомунікаційний бізнес: група "Фарлеп-Оптіма телеком" (надає послуги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ід єдиним брендом "Vega"), компанія "Астеліт" (оператор мобільного зв'язку life:)).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Проекти СКМ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на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ринку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нерухомості реалізує компанія "Еста Холдинг".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тому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числі, управляє діяльністю 5-зіркових готелів "Донбас-палас (Донецьк) і "Опера" (Київ).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Також до групи СКМ входять мережі АЗС "Гефест" і "Паралель", телерадіокомпанія "Україна", видавничий холдинг "Сьогодні Мультимедіа" (газети "Сьогодні", "Донецькі новини", "Вечірній Донецьк", "Салон Дону і Баса", "Вечорком" та ін.), компанія "Український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ітейл" (торгова мережа "Брусниця"), декілька машинобудівних підприємств ("Дружковський машзавод", "Горлівський машинобудівник", "Донецкгормаш", "Донецький енергозавод", "Свердловський машинобуді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вний завод").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ВИСНОВОК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Стратегія економічного розвитку України передбачає сприяння процесам </w:t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 xml:space="preserve">транснаціоналізацїі українського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корпоративного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капіталу на користь нарощування його конкурентоспроможності і фінансового потенціалу, а не боротьбу з ними через реприватизацію.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Формування українських ТНК може стати одним з стратегічних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іоритетів державної політики, яка за умови створення відповідного зовнішнього середовища (податкового стимулювання, у тому числі вибіркове стимулювання перспективних підприємств і областей), сприятиме підвищенню конкурентоспроможність економіки і за рахунок ексклюзивних можливостей ТНК забезпечить виживання національних підприємств в умовах. В той час, як “чистий національний виробник” неминуче програє конкурентну боротьбу. При цьому забезпечення балансу між іноземними і українськими ТНК загострить конкурентну боротьбу на ринку і сприятиме як кращому задоволенню потреб споживачів, так і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ідвищенню конкурентоспроможності національної економіки.</w:t>
      </w:r>
      <w:r w:rsidRPr="00D92C4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Таким чином, найперспективнішими для формування українських ТНК областями є ВПК, машинобудування, авіаційна, ракетно-космічна, металургійна і хімічна промисловість, електроніка, транспорт, легка і харчова промисловість, наукові </w:t>
      </w:r>
      <w:proofErr w:type="gramStart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досл</w:t>
      </w:r>
      <w:proofErr w:type="gramEnd"/>
      <w:r w:rsidRPr="00D92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ідження, програмування і веб-дизайн.</w:t>
      </w:r>
    </w:p>
    <w:sectPr w:rsidR="003102BA" w:rsidRPr="00D92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44"/>
    <w:rsid w:val="003102BA"/>
    <w:rsid w:val="00D9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2C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2C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graf.com.ua/usa-profile" TargetMode="External"/><Relationship Id="rId13" Type="http://schemas.openxmlformats.org/officeDocument/2006/relationships/hyperlink" Target="http://www.geograf.com.ua/india-profile" TargetMode="External"/><Relationship Id="rId18" Type="http://schemas.openxmlformats.org/officeDocument/2006/relationships/hyperlink" Target="http://www.geograf.com.ua/russia-profile" TargetMode="External"/><Relationship Id="rId26" Type="http://schemas.openxmlformats.org/officeDocument/2006/relationships/hyperlink" Target="http://www.geograf.com.ua/poland-profile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geograf.com.ua/belarus-profile" TargetMode="External"/><Relationship Id="rId34" Type="http://schemas.openxmlformats.org/officeDocument/2006/relationships/hyperlink" Target="http://www.geograf.com.ua/usa-profile" TargetMode="External"/><Relationship Id="rId7" Type="http://schemas.openxmlformats.org/officeDocument/2006/relationships/hyperlink" Target="http://www.geograf.com.ua/japan-profile" TargetMode="External"/><Relationship Id="rId12" Type="http://schemas.openxmlformats.org/officeDocument/2006/relationships/hyperlink" Target="http://www.geograf.com.ua/russia-profile" TargetMode="External"/><Relationship Id="rId17" Type="http://schemas.openxmlformats.org/officeDocument/2006/relationships/hyperlink" Target="http://www.geograf.com.ua/russia-profile" TargetMode="External"/><Relationship Id="rId25" Type="http://schemas.openxmlformats.org/officeDocument/2006/relationships/hyperlink" Target="http://www.geograf.com.ua/poland-profile" TargetMode="External"/><Relationship Id="rId33" Type="http://schemas.openxmlformats.org/officeDocument/2006/relationships/hyperlink" Target="http://www.geograf.com.ua/lithua-profile" TargetMode="External"/><Relationship Id="rId38" Type="http://schemas.openxmlformats.org/officeDocument/2006/relationships/hyperlink" Target="http://www.geograf.com.ua/swiss-profil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geograf.com.ua/venezuela-profile" TargetMode="External"/><Relationship Id="rId20" Type="http://schemas.openxmlformats.org/officeDocument/2006/relationships/hyperlink" Target="http://www.geograf.com.ua/armenia-profile" TargetMode="External"/><Relationship Id="rId29" Type="http://schemas.openxmlformats.org/officeDocument/2006/relationships/hyperlink" Target="http://www.geograf.com.ua/uzbekistan-profil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eograf.com.ua/usa-profile" TargetMode="External"/><Relationship Id="rId11" Type="http://schemas.openxmlformats.org/officeDocument/2006/relationships/hyperlink" Target="http://www.geograf.com.ua/china-profile" TargetMode="External"/><Relationship Id="rId24" Type="http://schemas.openxmlformats.org/officeDocument/2006/relationships/hyperlink" Target="http://www.geograf.com.ua/poland-profile" TargetMode="External"/><Relationship Id="rId32" Type="http://schemas.openxmlformats.org/officeDocument/2006/relationships/hyperlink" Target="http://www.geograf.com.ua/latvia-profile" TargetMode="External"/><Relationship Id="rId37" Type="http://schemas.openxmlformats.org/officeDocument/2006/relationships/hyperlink" Target="http://www.geograf.com.ua/israel-profile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geograf.com.ua/geoinfocentre/20-human-geography-ukraine-world/266-tnk-and-ukraine" TargetMode="External"/><Relationship Id="rId15" Type="http://schemas.openxmlformats.org/officeDocument/2006/relationships/hyperlink" Target="http://www.geograf.com.ua/mexico-profile" TargetMode="External"/><Relationship Id="rId23" Type="http://schemas.openxmlformats.org/officeDocument/2006/relationships/hyperlink" Target="http://www.geograf.com.ua/poland-profile" TargetMode="External"/><Relationship Id="rId28" Type="http://schemas.openxmlformats.org/officeDocument/2006/relationships/hyperlink" Target="http://www.geograf.com.ua/kazahstan-profile" TargetMode="External"/><Relationship Id="rId36" Type="http://schemas.openxmlformats.org/officeDocument/2006/relationships/hyperlink" Target="http://www.geograf.com.ua/germany-profile" TargetMode="External"/><Relationship Id="rId10" Type="http://schemas.openxmlformats.org/officeDocument/2006/relationships/hyperlink" Target="http://www.geograf.com.ua/russia-profile" TargetMode="External"/><Relationship Id="rId19" Type="http://schemas.openxmlformats.org/officeDocument/2006/relationships/hyperlink" Target="http://www.geograf.com.ua/russia-profile" TargetMode="External"/><Relationship Id="rId31" Type="http://schemas.openxmlformats.org/officeDocument/2006/relationships/hyperlink" Target="http://www.geograf.com.ua/estonia-profi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ograf.com.ua/russia-profile" TargetMode="External"/><Relationship Id="rId14" Type="http://schemas.openxmlformats.org/officeDocument/2006/relationships/hyperlink" Target="http://www.geograf.com.ua/indonesia-profile" TargetMode="External"/><Relationship Id="rId22" Type="http://schemas.openxmlformats.org/officeDocument/2006/relationships/hyperlink" Target="http://www.geograf.com.ua/moldova-profile" TargetMode="External"/><Relationship Id="rId27" Type="http://schemas.openxmlformats.org/officeDocument/2006/relationships/hyperlink" Target="http://www.geograf.com.ua/usa-profile" TargetMode="External"/><Relationship Id="rId30" Type="http://schemas.openxmlformats.org/officeDocument/2006/relationships/hyperlink" Target="http://www.geograf.com.ua/moldova-profile" TargetMode="External"/><Relationship Id="rId35" Type="http://schemas.openxmlformats.org/officeDocument/2006/relationships/hyperlink" Target="http://www.geograf.com.ua/canada-profi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5190</Words>
  <Characters>29584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2020-02-11T12:12:00Z</dcterms:created>
  <dcterms:modified xsi:type="dcterms:W3CDTF">2020-02-11T12:14:00Z</dcterms:modified>
</cp:coreProperties>
</file>